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042F1" w14:textId="77777777" w:rsidR="00841870" w:rsidRDefault="00841870" w:rsidP="003C1196">
      <w:pPr>
        <w:tabs>
          <w:tab w:val="center" w:pos="4536"/>
          <w:tab w:val="right" w:pos="9072"/>
        </w:tabs>
        <w:spacing w:after="0" w:line="240" w:lineRule="auto"/>
        <w:jc w:val="right"/>
        <w:rPr>
          <w:rFonts w:ascii="Times New Roman" w:eastAsia="Calibri" w:hAnsi="Times New Roman"/>
          <w:b/>
          <w:i/>
          <w:sz w:val="24"/>
          <w:szCs w:val="24"/>
        </w:rPr>
      </w:pPr>
    </w:p>
    <w:p w14:paraId="08EF006D" w14:textId="6B8EC7B4" w:rsidR="003C1196" w:rsidRPr="00F5314F" w:rsidRDefault="003C1196" w:rsidP="003C1196">
      <w:pPr>
        <w:tabs>
          <w:tab w:val="center" w:pos="4536"/>
          <w:tab w:val="right" w:pos="9072"/>
        </w:tabs>
        <w:spacing w:after="0" w:line="240" w:lineRule="auto"/>
        <w:jc w:val="right"/>
        <w:rPr>
          <w:rFonts w:ascii="Times New Roman" w:eastAsia="Calibri" w:hAnsi="Times New Roman"/>
          <w:b/>
          <w:i/>
          <w:sz w:val="24"/>
          <w:szCs w:val="24"/>
        </w:rPr>
      </w:pPr>
      <w:r w:rsidRPr="00F5314F">
        <w:rPr>
          <w:rFonts w:ascii="Times New Roman" w:eastAsia="Calibri" w:hAnsi="Times New Roman"/>
          <w:b/>
          <w:i/>
          <w:sz w:val="24"/>
          <w:szCs w:val="24"/>
        </w:rPr>
        <w:t>Приложение 10</w:t>
      </w:r>
    </w:p>
    <w:p w14:paraId="53F01C8E" w14:textId="01A3602E" w:rsidR="003C1196" w:rsidRPr="00F5314F" w:rsidRDefault="003C1196" w:rsidP="003C1196">
      <w:pPr>
        <w:spacing w:after="0" w:line="240" w:lineRule="auto"/>
        <w:rPr>
          <w:rFonts w:ascii="Times New Roman" w:eastAsia="Times New Roman" w:hAnsi="Times New Roman"/>
          <w:b/>
          <w:snapToGrid w:val="0"/>
          <w:kern w:val="28"/>
          <w:sz w:val="24"/>
          <w:szCs w:val="24"/>
        </w:rPr>
      </w:pPr>
    </w:p>
    <w:p w14:paraId="3D844DF3" w14:textId="77777777" w:rsidR="003C1196" w:rsidRPr="00F5314F" w:rsidRDefault="003C1196" w:rsidP="003C1196">
      <w:pPr>
        <w:spacing w:after="0" w:line="240" w:lineRule="auto"/>
        <w:rPr>
          <w:rFonts w:ascii="Times New Roman" w:eastAsia="Times New Roman" w:hAnsi="Times New Roman"/>
          <w:b/>
          <w:snapToGrid w:val="0"/>
          <w:kern w:val="28"/>
          <w:sz w:val="24"/>
          <w:szCs w:val="24"/>
        </w:rPr>
      </w:pPr>
      <w:r w:rsidRPr="00F5314F">
        <w:rPr>
          <w:rFonts w:ascii="Times New Roman" w:eastAsia="Times New Roman" w:hAnsi="Times New Roman"/>
          <w:b/>
          <w:snapToGrid w:val="0"/>
          <w:kern w:val="28"/>
          <w:sz w:val="24"/>
          <w:szCs w:val="24"/>
          <w:lang w:val="en-US"/>
        </w:rPr>
        <w:t xml:space="preserve">I. </w:t>
      </w:r>
      <w:r w:rsidRPr="00F5314F">
        <w:rPr>
          <w:rFonts w:ascii="Times New Roman" w:eastAsia="Times New Roman" w:hAnsi="Times New Roman"/>
          <w:b/>
          <w:snapToGrid w:val="0"/>
          <w:kern w:val="28"/>
          <w:sz w:val="24"/>
          <w:szCs w:val="24"/>
        </w:rPr>
        <w:t>ИЗПОЛЗВАНИ СЪКРАЩЕНИЯ:</w:t>
      </w:r>
    </w:p>
    <w:p w14:paraId="17AF3F5E" w14:textId="77777777" w:rsidR="003C1196" w:rsidRPr="00F5314F" w:rsidRDefault="003C1196" w:rsidP="003C1196">
      <w:pPr>
        <w:spacing w:after="0" w:line="240" w:lineRule="auto"/>
        <w:rPr>
          <w:rFonts w:ascii="Times New Roman" w:eastAsia="Times New Roman" w:hAnsi="Times New Roman"/>
          <w:b/>
          <w:snapToGrid w:val="0"/>
          <w:sz w:val="24"/>
          <w:szCs w:val="24"/>
        </w:rPr>
      </w:pP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gridCol w:w="7408"/>
      </w:tblGrid>
      <w:tr w:rsidR="0041164D" w:rsidRPr="00F5314F" w14:paraId="418393DA" w14:textId="77777777" w:rsidTr="00841870">
        <w:tc>
          <w:tcPr>
            <w:tcW w:w="1211" w:type="pct"/>
            <w:shd w:val="clear" w:color="auto" w:fill="D9D9D9"/>
          </w:tcPr>
          <w:p w14:paraId="76F14D82" w14:textId="227955EE" w:rsidR="0041164D" w:rsidRPr="00F5314F" w:rsidRDefault="0041164D" w:rsidP="006B7F3D">
            <w:pPr>
              <w:spacing w:after="0"/>
              <w:ind w:left="288" w:right="288" w:hanging="288"/>
              <w:rPr>
                <w:rFonts w:ascii="Times New Roman" w:eastAsia="Times New Roman" w:hAnsi="Times New Roman"/>
                <w:b/>
                <w:snapToGrid w:val="0"/>
                <w:sz w:val="24"/>
                <w:szCs w:val="24"/>
              </w:rPr>
            </w:pPr>
            <w:r>
              <w:rPr>
                <w:rFonts w:ascii="Times New Roman" w:eastAsia="Times New Roman" w:hAnsi="Times New Roman"/>
                <w:b/>
                <w:snapToGrid w:val="0"/>
                <w:sz w:val="24"/>
                <w:szCs w:val="24"/>
              </w:rPr>
              <w:t>АПК</w:t>
            </w:r>
          </w:p>
        </w:tc>
        <w:tc>
          <w:tcPr>
            <w:tcW w:w="3789" w:type="pct"/>
            <w:shd w:val="clear" w:color="auto" w:fill="F3F3F3"/>
          </w:tcPr>
          <w:p w14:paraId="223760A6" w14:textId="23E24DC6"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Административнопроцесуален кодекс</w:t>
            </w:r>
          </w:p>
        </w:tc>
      </w:tr>
      <w:tr w:rsidR="0041164D" w:rsidRPr="00F5314F" w14:paraId="5F044344" w14:textId="77777777" w:rsidTr="00841870">
        <w:tc>
          <w:tcPr>
            <w:tcW w:w="1211" w:type="pct"/>
            <w:shd w:val="clear" w:color="auto" w:fill="D9D9D9"/>
          </w:tcPr>
          <w:p w14:paraId="391EB5B1"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БНБ</w:t>
            </w:r>
          </w:p>
        </w:tc>
        <w:tc>
          <w:tcPr>
            <w:tcW w:w="3789" w:type="pct"/>
            <w:shd w:val="clear" w:color="auto" w:fill="F3F3F3"/>
          </w:tcPr>
          <w:p w14:paraId="6A2D1825" w14:textId="7777777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Българска народна банка</w:t>
            </w:r>
          </w:p>
        </w:tc>
      </w:tr>
      <w:tr w:rsidR="0041164D" w:rsidRPr="00F5314F" w14:paraId="729CE4CE" w14:textId="77777777" w:rsidTr="00841870">
        <w:tc>
          <w:tcPr>
            <w:tcW w:w="1211" w:type="pct"/>
            <w:shd w:val="clear" w:color="auto" w:fill="D9D9D9"/>
          </w:tcPr>
          <w:p w14:paraId="41958343"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ГД</w:t>
            </w:r>
          </w:p>
        </w:tc>
        <w:tc>
          <w:tcPr>
            <w:tcW w:w="3789" w:type="pct"/>
            <w:shd w:val="clear" w:color="auto" w:fill="F3F3F3"/>
          </w:tcPr>
          <w:p w14:paraId="1FD968F9" w14:textId="7777777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Главна дирекция</w:t>
            </w:r>
          </w:p>
        </w:tc>
      </w:tr>
      <w:tr w:rsidR="0041164D" w:rsidRPr="00F5314F" w14:paraId="238AB254" w14:textId="77777777" w:rsidTr="00841870">
        <w:tc>
          <w:tcPr>
            <w:tcW w:w="1211" w:type="pct"/>
            <w:shd w:val="clear" w:color="auto" w:fill="D9D9D9"/>
          </w:tcPr>
          <w:p w14:paraId="0802B690"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ДДС</w:t>
            </w:r>
          </w:p>
        </w:tc>
        <w:tc>
          <w:tcPr>
            <w:tcW w:w="3789" w:type="pct"/>
            <w:shd w:val="clear" w:color="auto" w:fill="F3F3F3"/>
          </w:tcPr>
          <w:p w14:paraId="6B227260" w14:textId="7777777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Данък добавена стойност</w:t>
            </w:r>
          </w:p>
        </w:tc>
      </w:tr>
      <w:tr w:rsidR="0041164D" w:rsidRPr="00F5314F" w14:paraId="32B7D863" w14:textId="77777777" w:rsidTr="00841870">
        <w:tc>
          <w:tcPr>
            <w:tcW w:w="1211" w:type="pct"/>
            <w:shd w:val="clear" w:color="auto" w:fill="D9D9D9"/>
          </w:tcPr>
          <w:p w14:paraId="1AE81842"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ДМА</w:t>
            </w:r>
          </w:p>
        </w:tc>
        <w:tc>
          <w:tcPr>
            <w:tcW w:w="3789" w:type="pct"/>
            <w:shd w:val="clear" w:color="auto" w:fill="F3F3F3"/>
          </w:tcPr>
          <w:p w14:paraId="54F76A5A" w14:textId="7777777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Дълготрайни материални активи</w:t>
            </w:r>
          </w:p>
        </w:tc>
      </w:tr>
      <w:tr w:rsidR="0041164D" w:rsidRPr="00F5314F" w14:paraId="5341DDDF" w14:textId="77777777" w:rsidTr="00841870">
        <w:tc>
          <w:tcPr>
            <w:tcW w:w="1211" w:type="pct"/>
            <w:shd w:val="clear" w:color="auto" w:fill="D9D9D9"/>
          </w:tcPr>
          <w:p w14:paraId="51F511B3"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ДНА</w:t>
            </w:r>
          </w:p>
        </w:tc>
        <w:tc>
          <w:tcPr>
            <w:tcW w:w="3789" w:type="pct"/>
            <w:shd w:val="clear" w:color="auto" w:fill="F3F3F3"/>
          </w:tcPr>
          <w:p w14:paraId="41B4E1A9" w14:textId="7777777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Дълготрайни нематериални активи</w:t>
            </w:r>
          </w:p>
        </w:tc>
      </w:tr>
      <w:tr w:rsidR="0041164D" w:rsidRPr="00F5314F" w14:paraId="5E37DDCC" w14:textId="77777777" w:rsidTr="00841870">
        <w:tc>
          <w:tcPr>
            <w:tcW w:w="1211" w:type="pct"/>
            <w:shd w:val="clear" w:color="auto" w:fill="D9D9D9"/>
          </w:tcPr>
          <w:p w14:paraId="20E986CF"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ДНФ</w:t>
            </w:r>
          </w:p>
        </w:tc>
        <w:tc>
          <w:tcPr>
            <w:tcW w:w="3789" w:type="pct"/>
            <w:shd w:val="clear" w:color="auto" w:fill="F3F3F3"/>
          </w:tcPr>
          <w:p w14:paraId="39E58206" w14:textId="77777777" w:rsidR="0041164D" w:rsidRPr="006B7F3D" w:rsidRDefault="0041164D" w:rsidP="006B7F3D">
            <w:pPr>
              <w:spacing w:after="40"/>
              <w:ind w:left="289" w:right="289"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 xml:space="preserve">Дирекция „Национален фонд”, Министерство на </w:t>
            </w:r>
          </w:p>
          <w:p w14:paraId="34B9FD51" w14:textId="77777777" w:rsidR="0041164D" w:rsidRPr="006B7F3D" w:rsidRDefault="0041164D" w:rsidP="006B7F3D">
            <w:pPr>
              <w:spacing w:after="40"/>
              <w:ind w:left="289" w:right="289"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 xml:space="preserve">финансите </w:t>
            </w:r>
          </w:p>
        </w:tc>
      </w:tr>
      <w:tr w:rsidR="0041164D" w:rsidRPr="00F5314F" w14:paraId="5E867404" w14:textId="77777777" w:rsidTr="00841870">
        <w:tc>
          <w:tcPr>
            <w:tcW w:w="1211" w:type="pct"/>
            <w:shd w:val="clear" w:color="auto" w:fill="D9D9D9"/>
          </w:tcPr>
          <w:p w14:paraId="2044BEFE"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ДОПК</w:t>
            </w:r>
          </w:p>
        </w:tc>
        <w:tc>
          <w:tcPr>
            <w:tcW w:w="3789" w:type="pct"/>
            <w:shd w:val="clear" w:color="auto" w:fill="F3F3F3"/>
          </w:tcPr>
          <w:p w14:paraId="085FCEA0" w14:textId="77777777" w:rsidR="0041164D" w:rsidRPr="006B7F3D" w:rsidRDefault="0041164D" w:rsidP="006B7F3D">
            <w:pPr>
              <w:spacing w:after="40"/>
              <w:ind w:left="289" w:right="289"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Данъчно-осигурител</w:t>
            </w:r>
            <w:r w:rsidRPr="006B7F3D">
              <w:rPr>
                <w:rFonts w:ascii="Times New Roman" w:eastAsia="Times New Roman" w:hAnsi="Times New Roman"/>
                <w:snapToGrid w:val="0"/>
                <w:sz w:val="24"/>
                <w:szCs w:val="24"/>
                <w:lang w:val="en-US"/>
              </w:rPr>
              <w:t>e</w:t>
            </w:r>
            <w:r w:rsidRPr="006B7F3D">
              <w:rPr>
                <w:rFonts w:ascii="Times New Roman" w:eastAsia="Times New Roman" w:hAnsi="Times New Roman"/>
                <w:snapToGrid w:val="0"/>
                <w:sz w:val="24"/>
                <w:szCs w:val="24"/>
              </w:rPr>
              <w:t>н процесуален кодекс</w:t>
            </w:r>
          </w:p>
        </w:tc>
      </w:tr>
      <w:tr w:rsidR="0041164D" w:rsidRPr="00F5314F" w14:paraId="478AF36F" w14:textId="77777777" w:rsidTr="00841870">
        <w:tc>
          <w:tcPr>
            <w:tcW w:w="1211" w:type="pct"/>
            <w:shd w:val="clear" w:color="auto" w:fill="D9D9D9"/>
          </w:tcPr>
          <w:p w14:paraId="671D9784"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ЕК</w:t>
            </w:r>
          </w:p>
        </w:tc>
        <w:tc>
          <w:tcPr>
            <w:tcW w:w="3789" w:type="pct"/>
            <w:shd w:val="clear" w:color="auto" w:fill="F3F3F3"/>
          </w:tcPr>
          <w:p w14:paraId="754A8987" w14:textId="7777777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Европейска комисия</w:t>
            </w:r>
          </w:p>
        </w:tc>
      </w:tr>
      <w:tr w:rsidR="0041164D" w:rsidRPr="00F5314F" w14:paraId="4808E228" w14:textId="77777777" w:rsidTr="00841870">
        <w:tc>
          <w:tcPr>
            <w:tcW w:w="1211" w:type="pct"/>
            <w:shd w:val="clear" w:color="auto" w:fill="D9D9D9"/>
          </w:tcPr>
          <w:p w14:paraId="38A9B8AD"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ЕО</w:t>
            </w:r>
          </w:p>
        </w:tc>
        <w:tc>
          <w:tcPr>
            <w:tcW w:w="3789" w:type="pct"/>
            <w:shd w:val="clear" w:color="auto" w:fill="F3F3F3"/>
          </w:tcPr>
          <w:p w14:paraId="621E8609" w14:textId="7777777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Европейска общност</w:t>
            </w:r>
          </w:p>
        </w:tc>
      </w:tr>
      <w:tr w:rsidR="0041164D" w:rsidRPr="00F5314F" w14:paraId="3677E3FD" w14:textId="77777777" w:rsidTr="00841870">
        <w:tc>
          <w:tcPr>
            <w:tcW w:w="1211" w:type="pct"/>
            <w:shd w:val="clear" w:color="auto" w:fill="D9D9D9"/>
          </w:tcPr>
          <w:p w14:paraId="17D8FF09"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ЕС</w:t>
            </w:r>
          </w:p>
        </w:tc>
        <w:tc>
          <w:tcPr>
            <w:tcW w:w="3789" w:type="pct"/>
            <w:shd w:val="clear" w:color="auto" w:fill="F3F3F3"/>
          </w:tcPr>
          <w:p w14:paraId="7ABCC253" w14:textId="7777777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Европейски съюз</w:t>
            </w:r>
          </w:p>
        </w:tc>
      </w:tr>
      <w:tr w:rsidR="0041164D" w:rsidRPr="00F5314F" w14:paraId="46D319EC" w14:textId="77777777" w:rsidTr="00841870">
        <w:tc>
          <w:tcPr>
            <w:tcW w:w="1211" w:type="pct"/>
            <w:shd w:val="clear" w:color="auto" w:fill="D9D9D9"/>
          </w:tcPr>
          <w:p w14:paraId="307221E0"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hAnsi="Times New Roman"/>
                <w:b/>
                <w:sz w:val="24"/>
                <w:szCs w:val="24"/>
              </w:rPr>
              <w:t>ЕФСУ</w:t>
            </w:r>
          </w:p>
        </w:tc>
        <w:tc>
          <w:tcPr>
            <w:tcW w:w="3789" w:type="pct"/>
            <w:shd w:val="clear" w:color="auto" w:fill="F3F3F3"/>
          </w:tcPr>
          <w:p w14:paraId="258A545C" w14:textId="6279354B"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hAnsi="Times New Roman"/>
                <w:sz w:val="24"/>
                <w:szCs w:val="24"/>
              </w:rPr>
              <w:t>Европейски фондове при споделено управление</w:t>
            </w:r>
          </w:p>
        </w:tc>
      </w:tr>
      <w:tr w:rsidR="0041164D" w:rsidRPr="00F5314F" w14:paraId="642293D0" w14:textId="77777777" w:rsidTr="00841870">
        <w:tc>
          <w:tcPr>
            <w:tcW w:w="1211" w:type="pct"/>
            <w:shd w:val="clear" w:color="auto" w:fill="D9D9D9"/>
          </w:tcPr>
          <w:p w14:paraId="2B965E09"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ЕСФ</w:t>
            </w:r>
          </w:p>
        </w:tc>
        <w:tc>
          <w:tcPr>
            <w:tcW w:w="3789" w:type="pct"/>
            <w:shd w:val="clear" w:color="auto" w:fill="F3F3F3"/>
          </w:tcPr>
          <w:p w14:paraId="42A236F1" w14:textId="7777777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Европейски социален фонд</w:t>
            </w:r>
          </w:p>
        </w:tc>
      </w:tr>
      <w:tr w:rsidR="0041164D" w:rsidRPr="00F5314F" w14:paraId="5BB9B24B" w14:textId="77777777" w:rsidTr="00841870">
        <w:tc>
          <w:tcPr>
            <w:tcW w:w="1211" w:type="pct"/>
            <w:shd w:val="clear" w:color="auto" w:fill="D9D9D9"/>
          </w:tcPr>
          <w:p w14:paraId="1D8D91B8"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ЕФРР</w:t>
            </w:r>
          </w:p>
        </w:tc>
        <w:tc>
          <w:tcPr>
            <w:tcW w:w="3789" w:type="pct"/>
            <w:shd w:val="clear" w:color="auto" w:fill="F3F3F3"/>
          </w:tcPr>
          <w:p w14:paraId="5B1BFCAF" w14:textId="7777777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Европейски фонд за регионално развитие</w:t>
            </w:r>
          </w:p>
        </w:tc>
      </w:tr>
      <w:tr w:rsidR="0041164D" w:rsidRPr="00F5314F" w14:paraId="40D51BD8" w14:textId="77777777" w:rsidTr="00841870">
        <w:tc>
          <w:tcPr>
            <w:tcW w:w="1211" w:type="pct"/>
            <w:shd w:val="clear" w:color="auto" w:fill="D9D9D9"/>
          </w:tcPr>
          <w:p w14:paraId="7DF9D696"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ЗКПО</w:t>
            </w:r>
          </w:p>
        </w:tc>
        <w:tc>
          <w:tcPr>
            <w:tcW w:w="3789" w:type="pct"/>
            <w:shd w:val="clear" w:color="auto" w:fill="F3F3F3"/>
          </w:tcPr>
          <w:p w14:paraId="74AA358B" w14:textId="7777777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Закон за корпоративното подоходно облагане</w:t>
            </w:r>
          </w:p>
        </w:tc>
      </w:tr>
      <w:tr w:rsidR="0041164D" w:rsidRPr="00F5314F" w14:paraId="568B9A9D" w14:textId="77777777" w:rsidTr="00841870">
        <w:tc>
          <w:tcPr>
            <w:tcW w:w="1211" w:type="pct"/>
            <w:shd w:val="clear" w:color="auto" w:fill="D9D9D9"/>
          </w:tcPr>
          <w:p w14:paraId="4A99FB2B"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ЗМСП</w:t>
            </w:r>
          </w:p>
        </w:tc>
        <w:tc>
          <w:tcPr>
            <w:tcW w:w="3789" w:type="pct"/>
            <w:shd w:val="clear" w:color="auto" w:fill="F3F3F3"/>
          </w:tcPr>
          <w:p w14:paraId="10458853" w14:textId="7777777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Закон за малките и средните предприятия</w:t>
            </w:r>
          </w:p>
        </w:tc>
      </w:tr>
      <w:tr w:rsidR="0041164D" w:rsidRPr="00F5314F" w14:paraId="414E664C" w14:textId="77777777" w:rsidTr="00841870">
        <w:tc>
          <w:tcPr>
            <w:tcW w:w="1211" w:type="pct"/>
            <w:shd w:val="clear" w:color="auto" w:fill="D9D9D9"/>
          </w:tcPr>
          <w:p w14:paraId="44B7574C"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ЗОП</w:t>
            </w:r>
          </w:p>
        </w:tc>
        <w:tc>
          <w:tcPr>
            <w:tcW w:w="3789" w:type="pct"/>
            <w:shd w:val="clear" w:color="auto" w:fill="F3F3F3"/>
          </w:tcPr>
          <w:p w14:paraId="489CC56B" w14:textId="7777777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Закон за обществените поръчки</w:t>
            </w:r>
          </w:p>
        </w:tc>
      </w:tr>
      <w:tr w:rsidR="0041164D" w:rsidRPr="00F5314F" w14:paraId="7FC19A02" w14:textId="77777777" w:rsidTr="00841870">
        <w:tc>
          <w:tcPr>
            <w:tcW w:w="1211" w:type="pct"/>
            <w:shd w:val="clear" w:color="auto" w:fill="D9D9D9"/>
          </w:tcPr>
          <w:p w14:paraId="77B755EF" w14:textId="7C7F6A4D"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ЗТР</w:t>
            </w:r>
            <w:r>
              <w:rPr>
                <w:rFonts w:ascii="Times New Roman" w:eastAsia="Times New Roman" w:hAnsi="Times New Roman"/>
                <w:b/>
                <w:snapToGrid w:val="0"/>
                <w:sz w:val="24"/>
                <w:szCs w:val="24"/>
              </w:rPr>
              <w:t>РЮЛНЦ</w:t>
            </w:r>
          </w:p>
        </w:tc>
        <w:tc>
          <w:tcPr>
            <w:tcW w:w="3789" w:type="pct"/>
            <w:shd w:val="clear" w:color="auto" w:fill="F3F3F3"/>
          </w:tcPr>
          <w:p w14:paraId="1F9DA96E" w14:textId="77777777" w:rsid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Закон за търговския регистър и р</w:t>
            </w:r>
            <w:r w:rsidR="006B7F3D">
              <w:rPr>
                <w:rFonts w:ascii="Times New Roman" w:eastAsia="Times New Roman" w:hAnsi="Times New Roman"/>
                <w:snapToGrid w:val="0"/>
                <w:sz w:val="24"/>
                <w:szCs w:val="24"/>
              </w:rPr>
              <w:t>егистъра на юридическите лица с</w:t>
            </w:r>
          </w:p>
          <w:p w14:paraId="4F68BA58" w14:textId="465AACA2"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нестопанска цел</w:t>
            </w:r>
          </w:p>
        </w:tc>
      </w:tr>
      <w:tr w:rsidR="008938D7" w:rsidRPr="00F5314F" w14:paraId="03C8FD52" w14:textId="77777777" w:rsidTr="00841870">
        <w:tc>
          <w:tcPr>
            <w:tcW w:w="1211" w:type="pct"/>
            <w:shd w:val="clear" w:color="auto" w:fill="D9D9D9"/>
          </w:tcPr>
          <w:p w14:paraId="1C2B2F32" w14:textId="5B6DE87E" w:rsidR="008938D7" w:rsidRPr="008938D7" w:rsidRDefault="008938D7" w:rsidP="006B7F3D">
            <w:pPr>
              <w:spacing w:after="0"/>
              <w:ind w:left="288" w:right="288" w:hanging="288"/>
              <w:rPr>
                <w:rFonts w:ascii="Times New Roman" w:eastAsia="Times New Roman" w:hAnsi="Times New Roman"/>
                <w:b/>
                <w:snapToGrid w:val="0"/>
                <w:sz w:val="24"/>
                <w:szCs w:val="24"/>
              </w:rPr>
            </w:pPr>
            <w:r>
              <w:rPr>
                <w:rFonts w:ascii="Times New Roman" w:eastAsia="Times New Roman" w:hAnsi="Times New Roman"/>
                <w:b/>
                <w:snapToGrid w:val="0"/>
                <w:sz w:val="24"/>
                <w:szCs w:val="24"/>
              </w:rPr>
              <w:t>ЗУО</w:t>
            </w:r>
          </w:p>
        </w:tc>
        <w:tc>
          <w:tcPr>
            <w:tcW w:w="3789" w:type="pct"/>
            <w:shd w:val="clear" w:color="auto" w:fill="F3F3F3"/>
          </w:tcPr>
          <w:p w14:paraId="3FBE54D3" w14:textId="1F1D06FB" w:rsidR="008938D7" w:rsidRPr="006B7F3D" w:rsidRDefault="008938D7" w:rsidP="006B7F3D">
            <w:pPr>
              <w:spacing w:after="40"/>
              <w:ind w:left="288" w:right="-13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Закон за управление на отпадъците</w:t>
            </w:r>
          </w:p>
        </w:tc>
      </w:tr>
      <w:tr w:rsidR="0041164D" w:rsidRPr="00F5314F" w14:paraId="672A3984" w14:textId="77777777" w:rsidTr="00841870">
        <w:tc>
          <w:tcPr>
            <w:tcW w:w="1211" w:type="pct"/>
            <w:shd w:val="clear" w:color="auto" w:fill="D9D9D9"/>
          </w:tcPr>
          <w:p w14:paraId="413E28FA"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ЗУСЕФСУ</w:t>
            </w:r>
          </w:p>
        </w:tc>
        <w:tc>
          <w:tcPr>
            <w:tcW w:w="3789" w:type="pct"/>
            <w:shd w:val="clear" w:color="auto" w:fill="F3F3F3"/>
          </w:tcPr>
          <w:p w14:paraId="16DF229E" w14:textId="77777777" w:rsidR="006B7F3D" w:rsidRDefault="0041164D" w:rsidP="006B7F3D">
            <w:pPr>
              <w:spacing w:after="40"/>
              <w:ind w:left="288" w:right="-13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Закон за управление на средстват</w:t>
            </w:r>
            <w:r w:rsidR="006B7F3D">
              <w:rPr>
                <w:rFonts w:ascii="Times New Roman" w:eastAsia="Times New Roman" w:hAnsi="Times New Roman"/>
                <w:snapToGrid w:val="0"/>
                <w:sz w:val="24"/>
                <w:szCs w:val="24"/>
              </w:rPr>
              <w:t>а от Европейските фондовете при</w:t>
            </w:r>
          </w:p>
          <w:p w14:paraId="08B6C82E" w14:textId="283BBD6F" w:rsidR="0041164D" w:rsidRPr="006B7F3D" w:rsidRDefault="0041164D" w:rsidP="006B7F3D">
            <w:pPr>
              <w:spacing w:after="40"/>
              <w:ind w:left="288" w:right="-13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споделено управление</w:t>
            </w:r>
          </w:p>
        </w:tc>
      </w:tr>
      <w:tr w:rsidR="0041164D" w:rsidRPr="00F5314F" w14:paraId="5E2E1A7D" w14:textId="77777777" w:rsidTr="00841870">
        <w:tc>
          <w:tcPr>
            <w:tcW w:w="1211" w:type="pct"/>
            <w:shd w:val="clear" w:color="auto" w:fill="D9D9D9"/>
          </w:tcPr>
          <w:p w14:paraId="59ED6E9E"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ИСУН</w:t>
            </w:r>
          </w:p>
        </w:tc>
        <w:tc>
          <w:tcPr>
            <w:tcW w:w="3789" w:type="pct"/>
            <w:shd w:val="clear" w:color="auto" w:fill="F3F3F3"/>
          </w:tcPr>
          <w:p w14:paraId="04B9924C" w14:textId="7777777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Информационна система за управление и наблюдение</w:t>
            </w:r>
          </w:p>
        </w:tc>
      </w:tr>
      <w:tr w:rsidR="0041164D" w:rsidRPr="00F5314F" w14:paraId="138B3CFB" w14:textId="77777777" w:rsidTr="00841870">
        <w:tc>
          <w:tcPr>
            <w:tcW w:w="1211" w:type="pct"/>
            <w:shd w:val="clear" w:color="auto" w:fill="D9D9D9"/>
          </w:tcPr>
          <w:p w14:paraId="1E29BE9C"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КЕП</w:t>
            </w:r>
          </w:p>
        </w:tc>
        <w:tc>
          <w:tcPr>
            <w:tcW w:w="3789" w:type="pct"/>
            <w:shd w:val="clear" w:color="auto" w:fill="F3F3F3"/>
          </w:tcPr>
          <w:p w14:paraId="428215CD" w14:textId="7777777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Квалифициран електронен подпис</w:t>
            </w:r>
          </w:p>
        </w:tc>
      </w:tr>
      <w:tr w:rsidR="0041164D" w:rsidRPr="00F5314F" w14:paraId="2C602652" w14:textId="77777777" w:rsidTr="00841870">
        <w:tc>
          <w:tcPr>
            <w:tcW w:w="1211" w:type="pct"/>
            <w:shd w:val="clear" w:color="auto" w:fill="D9D9D9"/>
          </w:tcPr>
          <w:p w14:paraId="5FAF250D" w14:textId="77777777" w:rsidR="0041164D" w:rsidRPr="00F5314F" w:rsidRDefault="0041164D"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КН</w:t>
            </w:r>
          </w:p>
        </w:tc>
        <w:tc>
          <w:tcPr>
            <w:tcW w:w="3789" w:type="pct"/>
            <w:shd w:val="clear" w:color="auto" w:fill="F3F3F3"/>
          </w:tcPr>
          <w:p w14:paraId="5D2D4295" w14:textId="7777777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Комитет за наблюдение</w:t>
            </w:r>
          </w:p>
        </w:tc>
      </w:tr>
      <w:tr w:rsidR="0041164D" w:rsidRPr="00F5314F" w14:paraId="1C20DF0F" w14:textId="77777777" w:rsidTr="00841870">
        <w:tc>
          <w:tcPr>
            <w:tcW w:w="1211" w:type="pct"/>
            <w:shd w:val="clear" w:color="auto" w:fill="D9D9D9"/>
          </w:tcPr>
          <w:p w14:paraId="7FAAE99B" w14:textId="77777777" w:rsidR="0041164D" w:rsidRPr="00694844" w:rsidRDefault="0041164D" w:rsidP="006B7F3D">
            <w:pPr>
              <w:spacing w:after="0"/>
              <w:ind w:left="288" w:right="288" w:hanging="288"/>
              <w:rPr>
                <w:rFonts w:ascii="Times New Roman" w:eastAsia="Times New Roman" w:hAnsi="Times New Roman"/>
                <w:b/>
                <w:snapToGrid w:val="0"/>
                <w:sz w:val="24"/>
                <w:szCs w:val="24"/>
              </w:rPr>
            </w:pPr>
            <w:r w:rsidRPr="00694844">
              <w:rPr>
                <w:rFonts w:ascii="Times New Roman" w:eastAsia="Times New Roman" w:hAnsi="Times New Roman"/>
                <w:b/>
                <w:snapToGrid w:val="0"/>
                <w:sz w:val="24"/>
                <w:szCs w:val="24"/>
              </w:rPr>
              <w:t>КИД-2008</w:t>
            </w:r>
          </w:p>
        </w:tc>
        <w:tc>
          <w:tcPr>
            <w:tcW w:w="3789" w:type="pct"/>
            <w:shd w:val="clear" w:color="auto" w:fill="F3F3F3"/>
          </w:tcPr>
          <w:p w14:paraId="5AD0ECFF" w14:textId="319F8687" w:rsidR="0041164D" w:rsidRPr="006B7F3D" w:rsidRDefault="0041164D"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 xml:space="preserve">Класификация на икономическите дейности </w:t>
            </w:r>
            <w:r w:rsidR="002372B4" w:rsidRPr="006B7F3D">
              <w:rPr>
                <w:rFonts w:ascii="Times New Roman" w:eastAsia="Times New Roman" w:hAnsi="Times New Roman"/>
                <w:snapToGrid w:val="0"/>
                <w:sz w:val="24"/>
                <w:szCs w:val="24"/>
              </w:rPr>
              <w:t xml:space="preserve">- </w:t>
            </w:r>
            <w:r w:rsidRPr="006B7F3D">
              <w:rPr>
                <w:rFonts w:ascii="Times New Roman" w:eastAsia="Times New Roman" w:hAnsi="Times New Roman"/>
                <w:snapToGrid w:val="0"/>
                <w:sz w:val="24"/>
                <w:szCs w:val="24"/>
              </w:rPr>
              <w:t>2008</w:t>
            </w:r>
          </w:p>
        </w:tc>
      </w:tr>
      <w:tr w:rsidR="002337FA" w:rsidRPr="00F5314F" w14:paraId="362240E2" w14:textId="77777777" w:rsidTr="00841870">
        <w:tc>
          <w:tcPr>
            <w:tcW w:w="1211" w:type="pct"/>
            <w:shd w:val="clear" w:color="auto" w:fill="D9D9D9"/>
          </w:tcPr>
          <w:p w14:paraId="4CEDD784" w14:textId="40AC0747" w:rsidR="002337FA" w:rsidRPr="00F5314F" w:rsidRDefault="002337FA" w:rsidP="006B7F3D">
            <w:pPr>
              <w:spacing w:after="0"/>
              <w:ind w:left="288" w:right="288" w:hanging="288"/>
              <w:rPr>
                <w:rFonts w:ascii="Times New Roman" w:eastAsia="Times New Roman" w:hAnsi="Times New Roman"/>
                <w:b/>
                <w:snapToGrid w:val="0"/>
                <w:sz w:val="24"/>
                <w:szCs w:val="24"/>
              </w:rPr>
            </w:pPr>
            <w:r>
              <w:rPr>
                <w:rFonts w:ascii="Times New Roman" w:eastAsia="Times New Roman" w:hAnsi="Times New Roman"/>
                <w:b/>
                <w:snapToGrid w:val="0"/>
                <w:sz w:val="24"/>
                <w:szCs w:val="24"/>
              </w:rPr>
              <w:t>КИД-2025</w:t>
            </w:r>
          </w:p>
        </w:tc>
        <w:tc>
          <w:tcPr>
            <w:tcW w:w="3789" w:type="pct"/>
            <w:shd w:val="clear" w:color="auto" w:fill="F3F3F3"/>
          </w:tcPr>
          <w:p w14:paraId="5B71C1BC" w14:textId="22A002DD" w:rsidR="002337FA" w:rsidRPr="006B7F3D" w:rsidRDefault="002337FA"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Класификация на икономическите дейности - 2025</w:t>
            </w:r>
          </w:p>
        </w:tc>
      </w:tr>
      <w:tr w:rsidR="002337FA" w:rsidRPr="00F5314F" w14:paraId="40A92669" w14:textId="77777777" w:rsidTr="00841870">
        <w:tc>
          <w:tcPr>
            <w:tcW w:w="1211" w:type="pct"/>
            <w:shd w:val="clear" w:color="auto" w:fill="D9D9D9"/>
          </w:tcPr>
          <w:p w14:paraId="7170F7CF" w14:textId="77777777" w:rsidR="002337FA" w:rsidRPr="00F5314F" w:rsidRDefault="002337FA"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МС</w:t>
            </w:r>
          </w:p>
        </w:tc>
        <w:tc>
          <w:tcPr>
            <w:tcW w:w="3789" w:type="pct"/>
            <w:shd w:val="clear" w:color="auto" w:fill="F3F3F3"/>
          </w:tcPr>
          <w:p w14:paraId="15DFAAD3" w14:textId="77777777" w:rsidR="002337FA" w:rsidRPr="006B7F3D" w:rsidRDefault="002337FA"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Министерски съвет</w:t>
            </w:r>
          </w:p>
        </w:tc>
      </w:tr>
      <w:tr w:rsidR="002337FA" w:rsidRPr="00F5314F" w14:paraId="7923D9B7" w14:textId="77777777" w:rsidTr="00841870">
        <w:tc>
          <w:tcPr>
            <w:tcW w:w="1211" w:type="pct"/>
            <w:shd w:val="clear" w:color="auto" w:fill="D9D9D9"/>
          </w:tcPr>
          <w:p w14:paraId="3433681B" w14:textId="77777777" w:rsidR="002337FA" w:rsidRPr="00F5314F" w:rsidRDefault="002337FA"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МСП</w:t>
            </w:r>
          </w:p>
        </w:tc>
        <w:tc>
          <w:tcPr>
            <w:tcW w:w="3789" w:type="pct"/>
            <w:shd w:val="clear" w:color="auto" w:fill="F3F3F3"/>
          </w:tcPr>
          <w:p w14:paraId="332DA51B" w14:textId="77777777" w:rsidR="002337FA" w:rsidRPr="006B7F3D" w:rsidRDefault="002337FA"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Малки и средни предприятия</w:t>
            </w:r>
          </w:p>
        </w:tc>
      </w:tr>
      <w:tr w:rsidR="002337FA" w:rsidRPr="00F5314F" w14:paraId="6D9FD519" w14:textId="77777777" w:rsidTr="00841870">
        <w:tc>
          <w:tcPr>
            <w:tcW w:w="1211" w:type="pct"/>
            <w:shd w:val="clear" w:color="auto" w:fill="D9D9D9"/>
          </w:tcPr>
          <w:p w14:paraId="6F644AAC" w14:textId="77777777" w:rsidR="002337FA" w:rsidRPr="00F5314F" w:rsidRDefault="002337FA"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НСИ</w:t>
            </w:r>
          </w:p>
        </w:tc>
        <w:tc>
          <w:tcPr>
            <w:tcW w:w="3789" w:type="pct"/>
            <w:shd w:val="clear" w:color="auto" w:fill="F3F3F3"/>
          </w:tcPr>
          <w:p w14:paraId="759198CD" w14:textId="77777777" w:rsidR="002337FA" w:rsidRPr="006B7F3D" w:rsidRDefault="002337FA"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Национален статистически институт</w:t>
            </w:r>
          </w:p>
        </w:tc>
      </w:tr>
      <w:tr w:rsidR="002337FA" w:rsidRPr="00F5314F" w14:paraId="19811620" w14:textId="77777777" w:rsidTr="00841870">
        <w:tc>
          <w:tcPr>
            <w:tcW w:w="1211" w:type="pct"/>
            <w:shd w:val="clear" w:color="auto" w:fill="D9D9D9"/>
          </w:tcPr>
          <w:p w14:paraId="27BF1E30" w14:textId="77777777" w:rsidR="002337FA" w:rsidRPr="00F5314F" w:rsidRDefault="002337FA"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ОП</w:t>
            </w:r>
          </w:p>
        </w:tc>
        <w:tc>
          <w:tcPr>
            <w:tcW w:w="3789" w:type="pct"/>
            <w:shd w:val="clear" w:color="auto" w:fill="F3F3F3"/>
          </w:tcPr>
          <w:p w14:paraId="69F5E5E3" w14:textId="77777777" w:rsidR="002337FA" w:rsidRPr="006B7F3D" w:rsidRDefault="002337FA"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Оперативна програма</w:t>
            </w:r>
          </w:p>
        </w:tc>
      </w:tr>
      <w:tr w:rsidR="002337FA" w:rsidRPr="00F5314F" w14:paraId="1B11FA94" w14:textId="77777777" w:rsidTr="00841870">
        <w:tc>
          <w:tcPr>
            <w:tcW w:w="1211" w:type="pct"/>
            <w:shd w:val="clear" w:color="auto" w:fill="D9D9D9"/>
          </w:tcPr>
          <w:p w14:paraId="083A893E" w14:textId="77777777" w:rsidR="002337FA" w:rsidRPr="00F5314F" w:rsidRDefault="002337FA" w:rsidP="006B7F3D">
            <w:pPr>
              <w:spacing w:after="0"/>
              <w:ind w:left="288" w:right="288" w:hanging="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ПКИП</w:t>
            </w:r>
          </w:p>
        </w:tc>
        <w:tc>
          <w:tcPr>
            <w:tcW w:w="3789" w:type="pct"/>
            <w:shd w:val="clear" w:color="auto" w:fill="F3F3F3"/>
          </w:tcPr>
          <w:p w14:paraId="022A79DC" w14:textId="77777777" w:rsidR="006B7F3D" w:rsidRDefault="002337FA"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Програма „Конкурентоспособ</w:t>
            </w:r>
            <w:r w:rsidR="001A6B48" w:rsidRPr="006B7F3D">
              <w:rPr>
                <w:rFonts w:ascii="Times New Roman" w:eastAsia="Times New Roman" w:hAnsi="Times New Roman"/>
                <w:snapToGrid w:val="0"/>
                <w:sz w:val="24"/>
                <w:szCs w:val="24"/>
              </w:rPr>
              <w:t>ност и иновации в предприятията”</w:t>
            </w:r>
          </w:p>
          <w:p w14:paraId="48AFCB2B" w14:textId="2AC5D288" w:rsidR="002337FA" w:rsidRPr="006B7F3D" w:rsidRDefault="002337FA"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2021-2027</w:t>
            </w:r>
          </w:p>
        </w:tc>
      </w:tr>
      <w:tr w:rsidR="002337FA" w:rsidRPr="00F5314F" w14:paraId="61C334EB" w14:textId="77777777" w:rsidTr="00841870">
        <w:tc>
          <w:tcPr>
            <w:tcW w:w="1211" w:type="pct"/>
            <w:shd w:val="clear" w:color="auto" w:fill="D9D9D9"/>
          </w:tcPr>
          <w:p w14:paraId="1BC6BDF5" w14:textId="77777777" w:rsidR="002337FA" w:rsidRPr="00F5314F" w:rsidRDefault="002337FA" w:rsidP="0046660E">
            <w:pPr>
              <w:spacing w:after="0"/>
              <w:ind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ПМС</w:t>
            </w:r>
          </w:p>
        </w:tc>
        <w:tc>
          <w:tcPr>
            <w:tcW w:w="3789" w:type="pct"/>
            <w:shd w:val="clear" w:color="auto" w:fill="F3F3F3"/>
          </w:tcPr>
          <w:p w14:paraId="327230B4" w14:textId="77777777" w:rsidR="002337FA" w:rsidRPr="006B7F3D" w:rsidRDefault="002337FA"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Постановление на Министерски съвет</w:t>
            </w:r>
          </w:p>
        </w:tc>
      </w:tr>
      <w:tr w:rsidR="00F145F0" w:rsidRPr="00F5314F" w14:paraId="3E761AF3" w14:textId="77777777" w:rsidTr="00841870">
        <w:tc>
          <w:tcPr>
            <w:tcW w:w="1211" w:type="pct"/>
            <w:shd w:val="clear" w:color="auto" w:fill="D9D9D9"/>
          </w:tcPr>
          <w:p w14:paraId="3BC35205" w14:textId="288BC90A" w:rsidR="00F145F0" w:rsidRPr="00F5314F" w:rsidRDefault="00F145F0" w:rsidP="0046660E">
            <w:pPr>
              <w:spacing w:after="0"/>
              <w:ind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ПРР</w:t>
            </w:r>
          </w:p>
        </w:tc>
        <w:tc>
          <w:tcPr>
            <w:tcW w:w="3789" w:type="pct"/>
            <w:shd w:val="clear" w:color="auto" w:fill="F3F3F3"/>
          </w:tcPr>
          <w:p w14:paraId="4F2E4E13" w14:textId="5ECA0EFF" w:rsidR="00F145F0" w:rsidRPr="006B7F3D" w:rsidRDefault="00F145F0"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Програма „Развитие на регионите” 2021-2027</w:t>
            </w:r>
          </w:p>
        </w:tc>
      </w:tr>
      <w:tr w:rsidR="00F145F0" w:rsidRPr="00F5314F" w14:paraId="3B31136C" w14:textId="77777777" w:rsidTr="00841870">
        <w:tc>
          <w:tcPr>
            <w:tcW w:w="1211" w:type="pct"/>
            <w:shd w:val="clear" w:color="auto" w:fill="D9D9D9"/>
          </w:tcPr>
          <w:p w14:paraId="7CA720A7" w14:textId="5B424E89" w:rsidR="00F145F0" w:rsidRPr="00F5314F" w:rsidRDefault="00F145F0" w:rsidP="0046660E">
            <w:pPr>
              <w:spacing w:after="0"/>
              <w:ind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lastRenderedPageBreak/>
              <w:t>СЗР</w:t>
            </w:r>
          </w:p>
        </w:tc>
        <w:tc>
          <w:tcPr>
            <w:tcW w:w="3789" w:type="pct"/>
            <w:shd w:val="clear" w:color="auto" w:fill="F3F3F3"/>
          </w:tcPr>
          <w:p w14:paraId="329C8F45" w14:textId="19CBB7D6" w:rsidR="00F145F0" w:rsidRPr="006B7F3D" w:rsidRDefault="00F145F0"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Северозападен район на планиране</w:t>
            </w:r>
          </w:p>
        </w:tc>
      </w:tr>
      <w:tr w:rsidR="00F145F0" w:rsidRPr="00F5314F" w14:paraId="7BB04281" w14:textId="77777777" w:rsidTr="00841870">
        <w:tc>
          <w:tcPr>
            <w:tcW w:w="1211" w:type="pct"/>
            <w:shd w:val="clear" w:color="auto" w:fill="D9D9D9"/>
          </w:tcPr>
          <w:p w14:paraId="1BAA3F64" w14:textId="5B30F6F1" w:rsidR="00F145F0" w:rsidRPr="00F5314F" w:rsidRDefault="00F145F0" w:rsidP="0046660E">
            <w:pPr>
              <w:spacing w:after="0"/>
              <w:ind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СИР</w:t>
            </w:r>
          </w:p>
        </w:tc>
        <w:tc>
          <w:tcPr>
            <w:tcW w:w="3789" w:type="pct"/>
            <w:shd w:val="clear" w:color="auto" w:fill="F3F3F3"/>
          </w:tcPr>
          <w:p w14:paraId="6D4E9B7F" w14:textId="0C678EEE" w:rsidR="00F145F0" w:rsidRPr="006B7F3D" w:rsidRDefault="00F145F0"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Североизточен район на планиране</w:t>
            </w:r>
          </w:p>
        </w:tc>
      </w:tr>
      <w:tr w:rsidR="00F145F0" w:rsidRPr="00F5314F" w14:paraId="6EFA19B0" w14:textId="77777777" w:rsidTr="00841870">
        <w:tc>
          <w:tcPr>
            <w:tcW w:w="1211" w:type="pct"/>
            <w:shd w:val="clear" w:color="auto" w:fill="D9D9D9"/>
          </w:tcPr>
          <w:p w14:paraId="33F45A4E" w14:textId="4EB4C457" w:rsidR="00F145F0" w:rsidRPr="00F5314F" w:rsidRDefault="00F145F0" w:rsidP="0046660E">
            <w:pPr>
              <w:spacing w:after="0"/>
              <w:ind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СЦР</w:t>
            </w:r>
          </w:p>
        </w:tc>
        <w:tc>
          <w:tcPr>
            <w:tcW w:w="3789" w:type="pct"/>
            <w:shd w:val="clear" w:color="auto" w:fill="F3F3F3"/>
          </w:tcPr>
          <w:p w14:paraId="40393D86" w14:textId="49493188" w:rsidR="00F145F0" w:rsidRPr="006B7F3D" w:rsidRDefault="00F145F0"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Северен централен район на планиране</w:t>
            </w:r>
          </w:p>
        </w:tc>
      </w:tr>
      <w:tr w:rsidR="00F145F0" w:rsidRPr="00F5314F" w14:paraId="09F03379" w14:textId="77777777" w:rsidTr="00841870">
        <w:tc>
          <w:tcPr>
            <w:tcW w:w="1211" w:type="pct"/>
            <w:shd w:val="clear" w:color="auto" w:fill="D9D9D9"/>
          </w:tcPr>
          <w:p w14:paraId="696B058D" w14:textId="67A680CB" w:rsidR="00F145F0" w:rsidRPr="00E73D15" w:rsidRDefault="00F145F0" w:rsidP="0046660E">
            <w:pPr>
              <w:spacing w:after="0"/>
              <w:ind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ЮЗР</w:t>
            </w:r>
          </w:p>
        </w:tc>
        <w:tc>
          <w:tcPr>
            <w:tcW w:w="3789" w:type="pct"/>
            <w:shd w:val="clear" w:color="auto" w:fill="F3F3F3"/>
          </w:tcPr>
          <w:p w14:paraId="49C0F127" w14:textId="79A7DB9C" w:rsidR="00F145F0" w:rsidRPr="006B7F3D" w:rsidRDefault="00F145F0"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Югозападен район на планиране</w:t>
            </w:r>
          </w:p>
        </w:tc>
      </w:tr>
      <w:tr w:rsidR="00F145F0" w:rsidRPr="00F5314F" w14:paraId="3A2CDF71" w14:textId="77777777" w:rsidTr="00841870">
        <w:tc>
          <w:tcPr>
            <w:tcW w:w="1211" w:type="pct"/>
            <w:shd w:val="clear" w:color="auto" w:fill="D9D9D9"/>
          </w:tcPr>
          <w:p w14:paraId="75176324" w14:textId="6684C12C" w:rsidR="00F145F0" w:rsidRPr="00F5314F" w:rsidRDefault="00F145F0" w:rsidP="0046660E">
            <w:pPr>
              <w:spacing w:after="0"/>
              <w:ind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ЮИР</w:t>
            </w:r>
          </w:p>
        </w:tc>
        <w:tc>
          <w:tcPr>
            <w:tcW w:w="3789" w:type="pct"/>
            <w:shd w:val="clear" w:color="auto" w:fill="F3F3F3"/>
          </w:tcPr>
          <w:p w14:paraId="1D434EA5" w14:textId="0DF3ADFF" w:rsidR="00F145F0" w:rsidRPr="006B7F3D" w:rsidRDefault="00F145F0"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Югоизточен район на планиране</w:t>
            </w:r>
          </w:p>
        </w:tc>
      </w:tr>
      <w:tr w:rsidR="00F145F0" w:rsidRPr="00F5314F" w14:paraId="7150DB6C" w14:textId="77777777" w:rsidTr="00841870">
        <w:tc>
          <w:tcPr>
            <w:tcW w:w="1211" w:type="pct"/>
            <w:shd w:val="clear" w:color="auto" w:fill="D9D9D9"/>
          </w:tcPr>
          <w:p w14:paraId="5B6F3212" w14:textId="45FEAB1B" w:rsidR="00F145F0" w:rsidRPr="00E73D15" w:rsidRDefault="00F145F0" w:rsidP="0046660E">
            <w:pPr>
              <w:spacing w:after="0"/>
              <w:ind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ЮЦР</w:t>
            </w:r>
          </w:p>
        </w:tc>
        <w:tc>
          <w:tcPr>
            <w:tcW w:w="3789" w:type="pct"/>
            <w:shd w:val="clear" w:color="auto" w:fill="F3F3F3"/>
          </w:tcPr>
          <w:p w14:paraId="53E0C776" w14:textId="55F701CD" w:rsidR="00F145F0" w:rsidRPr="006B7F3D" w:rsidRDefault="00F145F0" w:rsidP="006B7F3D">
            <w:pPr>
              <w:spacing w:after="40"/>
              <w:ind w:left="288" w:right="288" w:hanging="289"/>
              <w:rPr>
                <w:rFonts w:ascii="Times New Roman" w:eastAsia="Times New Roman" w:hAnsi="Times New Roman"/>
                <w:snapToGrid w:val="0"/>
                <w:sz w:val="24"/>
                <w:szCs w:val="24"/>
              </w:rPr>
            </w:pPr>
            <w:r w:rsidRPr="006B7F3D">
              <w:rPr>
                <w:rFonts w:ascii="Times New Roman" w:eastAsia="Times New Roman" w:hAnsi="Times New Roman"/>
                <w:snapToGrid w:val="0"/>
                <w:sz w:val="24"/>
                <w:szCs w:val="24"/>
              </w:rPr>
              <w:t>Южен централен район на планиране</w:t>
            </w:r>
          </w:p>
        </w:tc>
      </w:tr>
    </w:tbl>
    <w:p w14:paraId="72D018CD" w14:textId="05CE37BE" w:rsidR="00844514" w:rsidRPr="00F5314F" w:rsidRDefault="00844514" w:rsidP="003C1196">
      <w:pPr>
        <w:rPr>
          <w:rFonts w:ascii="Times New Roman" w:hAnsi="Times New Roman"/>
          <w:sz w:val="24"/>
          <w:szCs w:val="24"/>
        </w:rPr>
      </w:pPr>
    </w:p>
    <w:p w14:paraId="3EC33434" w14:textId="16BEF4FF" w:rsidR="003C1196" w:rsidRPr="00F5314F" w:rsidRDefault="003C1196" w:rsidP="003C1196">
      <w:pPr>
        <w:spacing w:after="0" w:line="240" w:lineRule="auto"/>
        <w:rPr>
          <w:rFonts w:ascii="Times New Roman" w:eastAsia="Times New Roman" w:hAnsi="Times New Roman"/>
          <w:b/>
          <w:snapToGrid w:val="0"/>
          <w:kern w:val="28"/>
          <w:sz w:val="24"/>
          <w:szCs w:val="24"/>
        </w:rPr>
      </w:pPr>
      <w:r w:rsidRPr="00F5314F">
        <w:rPr>
          <w:rFonts w:ascii="Times New Roman" w:eastAsia="Times New Roman" w:hAnsi="Times New Roman"/>
          <w:b/>
          <w:snapToGrid w:val="0"/>
          <w:kern w:val="28"/>
          <w:sz w:val="24"/>
          <w:szCs w:val="24"/>
          <w:lang w:val="en-US"/>
        </w:rPr>
        <w:t xml:space="preserve">II. </w:t>
      </w:r>
      <w:r w:rsidRPr="00F5314F">
        <w:rPr>
          <w:rFonts w:ascii="Times New Roman" w:eastAsia="Times New Roman" w:hAnsi="Times New Roman"/>
          <w:b/>
          <w:snapToGrid w:val="0"/>
          <w:kern w:val="28"/>
          <w:sz w:val="24"/>
          <w:szCs w:val="24"/>
        </w:rPr>
        <w:t>ОСНОВНИ ОПРЕДЕЛЕНИЯ</w:t>
      </w:r>
      <w:r w:rsidR="00370E4D">
        <w:rPr>
          <w:rStyle w:val="FootnoteReference"/>
          <w:rFonts w:ascii="Times New Roman" w:eastAsia="Times New Roman" w:hAnsi="Times New Roman"/>
          <w:b/>
          <w:snapToGrid w:val="0"/>
          <w:kern w:val="28"/>
          <w:sz w:val="24"/>
          <w:szCs w:val="24"/>
        </w:rPr>
        <w:footnoteReference w:id="1"/>
      </w:r>
      <w:r w:rsidRPr="00F5314F">
        <w:rPr>
          <w:rFonts w:ascii="Times New Roman" w:eastAsia="Times New Roman" w:hAnsi="Times New Roman"/>
          <w:b/>
          <w:snapToGrid w:val="0"/>
          <w:kern w:val="28"/>
          <w:sz w:val="24"/>
          <w:szCs w:val="24"/>
        </w:rPr>
        <w:t>:</w:t>
      </w:r>
    </w:p>
    <w:p w14:paraId="61B68EF2" w14:textId="77777777" w:rsidR="003C1196" w:rsidRPr="00F5314F" w:rsidRDefault="003C1196" w:rsidP="003C1196">
      <w:pPr>
        <w:spacing w:after="0" w:line="240" w:lineRule="auto"/>
        <w:rPr>
          <w:rFonts w:ascii="Times New Roman" w:eastAsia="Times New Roman" w:hAnsi="Times New Roman"/>
          <w:b/>
          <w:snapToGrid w:val="0"/>
          <w:kern w:val="28"/>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371"/>
      </w:tblGrid>
      <w:tr w:rsidR="003C1196" w:rsidRPr="00F5314F" w14:paraId="616F0015" w14:textId="77777777" w:rsidTr="006B7F3D">
        <w:tc>
          <w:tcPr>
            <w:tcW w:w="2405" w:type="dxa"/>
            <w:shd w:val="clear" w:color="auto" w:fill="E6E6E6"/>
          </w:tcPr>
          <w:p w14:paraId="3396D4DF" w14:textId="77777777" w:rsidR="003C1196" w:rsidRPr="00F5314F" w:rsidRDefault="003C1196" w:rsidP="00E2227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Административен договор за предоставяне на безвъзмездна финансова помощ</w:t>
            </w:r>
          </w:p>
        </w:tc>
        <w:tc>
          <w:tcPr>
            <w:tcW w:w="7371" w:type="dxa"/>
            <w:shd w:val="clear" w:color="auto" w:fill="F3F3F3"/>
          </w:tcPr>
          <w:p w14:paraId="3C714BA0" w14:textId="23B0F003" w:rsidR="003C1196" w:rsidRPr="00F5314F" w:rsidRDefault="00962CCA" w:rsidP="00E2227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Административен договор е изрично волеизявление на ръководителя на Управляващия орган за предоставяне на финансова подкрепа със средства от ЕФСУ,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w:t>
            </w:r>
            <w:r w:rsidR="001A74FE">
              <w:rPr>
                <w:rFonts w:ascii="Times New Roman" w:eastAsia="Times New Roman" w:hAnsi="Times New Roman"/>
                <w:snapToGrid w:val="0"/>
                <w:sz w:val="24"/>
                <w:szCs w:val="24"/>
              </w:rPr>
              <w:t>я в писмено споразумение между Р</w:t>
            </w:r>
            <w:r w:rsidRPr="00F5314F">
              <w:rPr>
                <w:rFonts w:ascii="Times New Roman" w:eastAsia="Times New Roman" w:hAnsi="Times New Roman"/>
                <w:snapToGrid w:val="0"/>
                <w:sz w:val="24"/>
                <w:szCs w:val="24"/>
              </w:rPr>
              <w:t>ъководителя на Управляващия орган и бенефициента, заместващо издаването на административен акт.</w:t>
            </w:r>
          </w:p>
        </w:tc>
      </w:tr>
      <w:tr w:rsidR="00D35B22" w:rsidRPr="00F5314F" w14:paraId="1C5193C9" w14:textId="77777777" w:rsidTr="006B7F3D">
        <w:tc>
          <w:tcPr>
            <w:tcW w:w="2405" w:type="dxa"/>
            <w:shd w:val="clear" w:color="auto" w:fill="E6E6E6"/>
          </w:tcPr>
          <w:p w14:paraId="345A5503" w14:textId="61898B20" w:rsidR="00D35B22" w:rsidRPr="00F5314F" w:rsidRDefault="00D35B22" w:rsidP="00E2227D">
            <w:pPr>
              <w:spacing w:after="120" w:line="240" w:lineRule="auto"/>
              <w:rPr>
                <w:rFonts w:ascii="Times New Roman" w:eastAsia="Times New Roman" w:hAnsi="Times New Roman"/>
                <w:b/>
                <w:snapToGrid w:val="0"/>
                <w:sz w:val="24"/>
                <w:szCs w:val="24"/>
              </w:rPr>
            </w:pPr>
            <w:r>
              <w:rPr>
                <w:rFonts w:ascii="Times New Roman" w:eastAsia="Times New Roman" w:hAnsi="Times New Roman"/>
                <w:b/>
                <w:snapToGrid w:val="0"/>
                <w:sz w:val="24"/>
                <w:szCs w:val="24"/>
              </w:rPr>
              <w:t>Алтернативни суровини</w:t>
            </w:r>
          </w:p>
        </w:tc>
        <w:tc>
          <w:tcPr>
            <w:tcW w:w="7371" w:type="dxa"/>
            <w:shd w:val="clear" w:color="auto" w:fill="F3F3F3"/>
          </w:tcPr>
          <w:p w14:paraId="087C1C2D" w14:textId="6245ADE7" w:rsidR="00D35B22" w:rsidRPr="00370E4D" w:rsidRDefault="00D35B22" w:rsidP="004223CA">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Суровини, които </w:t>
            </w:r>
            <w:r w:rsidRPr="00D35B22">
              <w:rPr>
                <w:rFonts w:ascii="Times New Roman" w:eastAsia="Times New Roman" w:hAnsi="Times New Roman"/>
                <w:snapToGrid w:val="0"/>
                <w:sz w:val="24"/>
                <w:szCs w:val="24"/>
              </w:rPr>
              <w:t xml:space="preserve">не представляват </w:t>
            </w:r>
            <w:r w:rsidR="004223CA">
              <w:rPr>
                <w:rFonts w:ascii="Times New Roman" w:eastAsia="Times New Roman" w:hAnsi="Times New Roman"/>
                <w:snapToGrid w:val="0"/>
                <w:sz w:val="24"/>
                <w:szCs w:val="24"/>
              </w:rPr>
              <w:t xml:space="preserve">и не включват в състава си </w:t>
            </w:r>
            <w:r w:rsidRPr="00D35B22">
              <w:rPr>
                <w:rFonts w:ascii="Times New Roman" w:eastAsia="Times New Roman" w:hAnsi="Times New Roman"/>
                <w:snapToGrid w:val="0"/>
                <w:sz w:val="24"/>
                <w:szCs w:val="24"/>
              </w:rPr>
              <w:t>опасни вещества</w:t>
            </w:r>
            <w:r w:rsidR="00370E4D">
              <w:rPr>
                <w:rFonts w:ascii="Times New Roman" w:eastAsia="Times New Roman" w:hAnsi="Times New Roman"/>
                <w:snapToGrid w:val="0"/>
                <w:sz w:val="24"/>
                <w:szCs w:val="24"/>
              </w:rPr>
              <w:t xml:space="preserve"> и/или</w:t>
            </w:r>
            <w:r w:rsidR="008610CF">
              <w:rPr>
                <w:rFonts w:ascii="Times New Roman" w:eastAsia="Times New Roman" w:hAnsi="Times New Roman"/>
                <w:snapToGrid w:val="0"/>
                <w:sz w:val="24"/>
                <w:szCs w:val="24"/>
              </w:rPr>
              <w:t xml:space="preserve"> </w:t>
            </w:r>
            <w:r w:rsidR="00370E4D">
              <w:rPr>
                <w:rFonts w:ascii="Times New Roman" w:eastAsia="Times New Roman" w:hAnsi="Times New Roman"/>
                <w:snapToGrid w:val="0"/>
                <w:sz w:val="24"/>
                <w:szCs w:val="24"/>
              </w:rPr>
              <w:t xml:space="preserve">пластмаса, и/или други </w:t>
            </w:r>
            <w:r w:rsidR="008610CF">
              <w:rPr>
                <w:rFonts w:ascii="Times New Roman" w:eastAsia="Times New Roman" w:hAnsi="Times New Roman"/>
                <w:snapToGrid w:val="0"/>
                <w:sz w:val="24"/>
                <w:szCs w:val="24"/>
              </w:rPr>
              <w:t>суровини на фосилна основа,</w:t>
            </w:r>
            <w:r w:rsidR="00370E4D">
              <w:rPr>
                <w:rFonts w:ascii="Times New Roman" w:eastAsia="Times New Roman" w:hAnsi="Times New Roman"/>
                <w:snapToGrid w:val="0"/>
                <w:sz w:val="24"/>
                <w:szCs w:val="24"/>
              </w:rPr>
              <w:t xml:space="preserve"> и/или</w:t>
            </w:r>
            <w:r w:rsidR="008610CF">
              <w:rPr>
                <w:rFonts w:ascii="Times New Roman" w:eastAsia="Times New Roman" w:hAnsi="Times New Roman"/>
                <w:snapToGrid w:val="0"/>
                <w:sz w:val="24"/>
                <w:szCs w:val="24"/>
              </w:rPr>
              <w:t xml:space="preserve"> </w:t>
            </w:r>
            <w:r w:rsidR="00370E4D">
              <w:rPr>
                <w:rFonts w:ascii="Times New Roman" w:eastAsia="Times New Roman" w:hAnsi="Times New Roman"/>
                <w:snapToGrid w:val="0"/>
                <w:sz w:val="24"/>
                <w:szCs w:val="24"/>
              </w:rPr>
              <w:t>ресурси</w:t>
            </w:r>
            <w:r w:rsidR="00EF0047">
              <w:rPr>
                <w:rFonts w:ascii="Times New Roman" w:eastAsia="Times New Roman" w:hAnsi="Times New Roman"/>
                <w:snapToGrid w:val="0"/>
                <w:sz w:val="24"/>
                <w:szCs w:val="24"/>
              </w:rPr>
              <w:t>, които не са възобновими</w:t>
            </w:r>
            <w:r w:rsidR="00370E4D">
              <w:rPr>
                <w:rFonts w:ascii="Times New Roman" w:eastAsia="Times New Roman" w:hAnsi="Times New Roman"/>
                <w:snapToGrid w:val="0"/>
                <w:sz w:val="24"/>
                <w:szCs w:val="24"/>
              </w:rPr>
              <w:t>. Определения за „опасни вещества</w:t>
            </w:r>
            <w:r w:rsidR="00370E4D" w:rsidRPr="00370E4D">
              <w:rPr>
                <w:rFonts w:ascii="Times New Roman" w:eastAsia="Times New Roman" w:hAnsi="Times New Roman"/>
                <w:snapToGrid w:val="0"/>
                <w:sz w:val="24"/>
                <w:szCs w:val="24"/>
              </w:rPr>
              <w:t xml:space="preserve">”, </w:t>
            </w:r>
            <w:r w:rsidR="00370E4D">
              <w:rPr>
                <w:rFonts w:ascii="Times New Roman" w:eastAsia="Times New Roman" w:hAnsi="Times New Roman"/>
                <w:snapToGrid w:val="0"/>
                <w:sz w:val="24"/>
                <w:szCs w:val="24"/>
              </w:rPr>
              <w:t>„пластмаса</w:t>
            </w:r>
            <w:r w:rsidR="00370E4D" w:rsidRPr="00370E4D">
              <w:rPr>
                <w:rFonts w:ascii="Times New Roman" w:eastAsia="Times New Roman" w:hAnsi="Times New Roman"/>
                <w:snapToGrid w:val="0"/>
                <w:sz w:val="24"/>
                <w:szCs w:val="24"/>
              </w:rPr>
              <w:t xml:space="preserve">” и </w:t>
            </w:r>
            <w:r w:rsidR="00370E4D">
              <w:rPr>
                <w:rFonts w:ascii="Times New Roman" w:eastAsia="Times New Roman" w:hAnsi="Times New Roman"/>
                <w:snapToGrid w:val="0"/>
                <w:sz w:val="24"/>
                <w:szCs w:val="24"/>
              </w:rPr>
              <w:t>„възобновими ресурси</w:t>
            </w:r>
            <w:r w:rsidR="00370E4D" w:rsidRPr="00370E4D">
              <w:rPr>
                <w:rFonts w:ascii="Times New Roman" w:eastAsia="Times New Roman" w:hAnsi="Times New Roman"/>
                <w:snapToGrid w:val="0"/>
                <w:sz w:val="24"/>
                <w:szCs w:val="24"/>
              </w:rPr>
              <w:t xml:space="preserve">” </w:t>
            </w:r>
            <w:r w:rsidR="00370E4D">
              <w:rPr>
                <w:rFonts w:ascii="Times New Roman" w:eastAsia="Times New Roman" w:hAnsi="Times New Roman"/>
                <w:snapToGrid w:val="0"/>
                <w:sz w:val="24"/>
                <w:szCs w:val="24"/>
              </w:rPr>
              <w:t>са представени по-долу.</w:t>
            </w:r>
          </w:p>
        </w:tc>
      </w:tr>
      <w:tr w:rsidR="003C1196" w:rsidRPr="00F5314F" w14:paraId="7A9F9F66" w14:textId="77777777" w:rsidTr="006B7F3D">
        <w:tc>
          <w:tcPr>
            <w:tcW w:w="2405" w:type="dxa"/>
            <w:shd w:val="clear" w:color="auto" w:fill="E6E6E6"/>
          </w:tcPr>
          <w:p w14:paraId="7A62FFFD" w14:textId="77777777" w:rsidR="003C1196" w:rsidRPr="00F5314F" w:rsidRDefault="003C1196" w:rsidP="00E2227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Безвъзмездна финансова помощ</w:t>
            </w:r>
          </w:p>
        </w:tc>
        <w:tc>
          <w:tcPr>
            <w:tcW w:w="7371" w:type="dxa"/>
            <w:shd w:val="clear" w:color="auto" w:fill="F3F3F3"/>
          </w:tcPr>
          <w:p w14:paraId="43038F5C" w14:textId="242B8B5F" w:rsidR="003C1196" w:rsidRPr="00F5314F" w:rsidRDefault="003C1196" w:rsidP="003A7795">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Средства, предоставени от </w:t>
            </w:r>
            <w:r w:rsidR="003A7795" w:rsidRPr="00F5314F">
              <w:rPr>
                <w:rFonts w:ascii="Times New Roman" w:eastAsia="Times New Roman" w:hAnsi="Times New Roman"/>
                <w:snapToGrid w:val="0"/>
                <w:sz w:val="24"/>
                <w:szCs w:val="24"/>
              </w:rPr>
              <w:t>ПКИП</w:t>
            </w:r>
            <w:r w:rsidRPr="00F5314F">
              <w:rPr>
                <w:rFonts w:ascii="Times New Roman" w:eastAsia="Times New Roman" w:hAnsi="Times New Roman"/>
                <w:snapToGrid w:val="0"/>
                <w:sz w:val="24"/>
                <w:szCs w:val="24"/>
              </w:rPr>
              <w:t>, включително съответното национално съфинансиране, с цел изпълнението на одобрен проект, насочен към постигане на определени резултати</w:t>
            </w:r>
            <w:r w:rsidR="003A7795" w:rsidRPr="00F5314F">
              <w:rPr>
                <w:rFonts w:ascii="Times New Roman" w:eastAsia="Times New Roman" w:hAnsi="Times New Roman"/>
                <w:snapToGrid w:val="0"/>
                <w:sz w:val="24"/>
                <w:szCs w:val="24"/>
              </w:rPr>
              <w:t>/цели</w:t>
            </w:r>
            <w:r w:rsidRPr="00F5314F">
              <w:rPr>
                <w:rFonts w:ascii="Times New Roman" w:eastAsia="Times New Roman" w:hAnsi="Times New Roman"/>
                <w:snapToGrid w:val="0"/>
                <w:sz w:val="24"/>
                <w:szCs w:val="24"/>
              </w:rPr>
              <w:t>.</w:t>
            </w:r>
          </w:p>
        </w:tc>
      </w:tr>
      <w:tr w:rsidR="003C1196" w:rsidRPr="00F5314F" w14:paraId="7846BBA5" w14:textId="77777777" w:rsidTr="006B7F3D">
        <w:tc>
          <w:tcPr>
            <w:tcW w:w="2405" w:type="dxa"/>
            <w:shd w:val="clear" w:color="auto" w:fill="E6E6E6"/>
          </w:tcPr>
          <w:p w14:paraId="58B30A3C" w14:textId="77777777" w:rsidR="003C1196" w:rsidRPr="00F5314F" w:rsidRDefault="003C1196" w:rsidP="00E2227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Бенефициент на безвъзмездна финансова помощ</w:t>
            </w:r>
          </w:p>
        </w:tc>
        <w:tc>
          <w:tcPr>
            <w:tcW w:w="7371" w:type="dxa"/>
            <w:shd w:val="clear" w:color="auto" w:fill="F3F3F3"/>
          </w:tcPr>
          <w:p w14:paraId="22B538E9" w14:textId="77777777" w:rsidR="001A74FE" w:rsidRPr="001A74FE" w:rsidRDefault="001A74FE" w:rsidP="001A74FE">
            <w:pPr>
              <w:spacing w:after="120" w:line="240" w:lineRule="auto"/>
              <w:jc w:val="both"/>
              <w:rPr>
                <w:rFonts w:ascii="Times New Roman" w:eastAsia="Times New Roman" w:hAnsi="Times New Roman"/>
                <w:snapToGrid w:val="0"/>
                <w:sz w:val="24"/>
                <w:szCs w:val="24"/>
              </w:rPr>
            </w:pPr>
            <w:r w:rsidRPr="001A74FE">
              <w:rPr>
                <w:rFonts w:ascii="Times New Roman" w:eastAsia="Times New Roman" w:hAnsi="Times New Roman"/>
                <w:snapToGrid w:val="0"/>
                <w:sz w:val="24"/>
                <w:szCs w:val="24"/>
              </w:rPr>
              <w:t xml:space="preserve">Лицата, посочени в чл. 2, пар. 9 от Регламент (ЕС) № 2021/1060 и по-конкретно публични или частни субекти, образувания с или без правосубектност или физически лица, които отговарят за започването на операциите или за започването и изпълнението им.  </w:t>
            </w:r>
          </w:p>
          <w:p w14:paraId="679C7523" w14:textId="1D5517B1" w:rsidR="003C1196" w:rsidRPr="00F5314F" w:rsidRDefault="001A74FE" w:rsidP="001A74FE">
            <w:pPr>
              <w:spacing w:after="120" w:line="240" w:lineRule="auto"/>
              <w:jc w:val="both"/>
              <w:rPr>
                <w:rFonts w:ascii="Times New Roman" w:eastAsia="Times New Roman" w:hAnsi="Times New Roman"/>
                <w:snapToGrid w:val="0"/>
                <w:sz w:val="24"/>
                <w:szCs w:val="24"/>
              </w:rPr>
            </w:pPr>
            <w:r w:rsidRPr="001A74FE">
              <w:rPr>
                <w:rFonts w:ascii="Times New Roman" w:eastAsia="Times New Roman" w:hAnsi="Times New Roman"/>
                <w:snapToGrid w:val="0"/>
                <w:sz w:val="24"/>
                <w:szCs w:val="24"/>
              </w:rPr>
              <w:t>За целите на настоящата процедурата под бенефициент се разбира предприятието, което получава/разходва помощта съгласно чл. 2, пар. 9, буква в) от Регламент (ЕС) № 2021/1060.</w:t>
            </w:r>
          </w:p>
        </w:tc>
      </w:tr>
      <w:tr w:rsidR="00F145F0" w:rsidRPr="00F5314F" w14:paraId="1067E57D" w14:textId="77777777" w:rsidTr="006B7F3D">
        <w:tc>
          <w:tcPr>
            <w:tcW w:w="2405" w:type="dxa"/>
            <w:shd w:val="clear" w:color="auto" w:fill="E6E6E6"/>
          </w:tcPr>
          <w:p w14:paraId="331D9A0F" w14:textId="2084BD87" w:rsidR="00F145F0" w:rsidRPr="00F5314F" w:rsidRDefault="00F145F0" w:rsidP="00E2227D">
            <w:pPr>
              <w:spacing w:after="120" w:line="240" w:lineRule="auto"/>
              <w:rPr>
                <w:rFonts w:ascii="Times New Roman" w:eastAsia="Times New Roman" w:hAnsi="Times New Roman"/>
                <w:b/>
                <w:snapToGrid w:val="0"/>
                <w:sz w:val="24"/>
                <w:szCs w:val="24"/>
              </w:rPr>
            </w:pPr>
            <w:r>
              <w:rPr>
                <w:rFonts w:ascii="Times New Roman" w:eastAsia="Times New Roman" w:hAnsi="Times New Roman"/>
                <w:b/>
                <w:snapToGrid w:val="0"/>
                <w:sz w:val="24"/>
                <w:szCs w:val="24"/>
              </w:rPr>
              <w:t>Възобновими ресурси</w:t>
            </w:r>
          </w:p>
        </w:tc>
        <w:tc>
          <w:tcPr>
            <w:tcW w:w="7371" w:type="dxa"/>
            <w:shd w:val="clear" w:color="auto" w:fill="F3F3F3"/>
          </w:tcPr>
          <w:p w14:paraId="11AC0C7E" w14:textId="70D1CE5C" w:rsidR="00F145F0" w:rsidRPr="001A74FE" w:rsidRDefault="00F145F0" w:rsidP="001A74FE">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„Възобновими ресурси</w:t>
            </w:r>
            <w:r w:rsidRPr="00F145F0">
              <w:rPr>
                <w:rFonts w:ascii="Times New Roman" w:eastAsia="Times New Roman" w:hAnsi="Times New Roman"/>
                <w:snapToGrid w:val="0"/>
                <w:sz w:val="24"/>
                <w:szCs w:val="24"/>
              </w:rPr>
              <w:t>” са тези, които естествено се възстановяват или чрез специални дейности могат да бъдат изцяло или частично възстановени и за които се счита за доказано, че се възстановяват с темпове, съпоставими с темповете на тяхната експлоатация. Всички останали ресурси са невъзобновими.</w:t>
            </w:r>
          </w:p>
        </w:tc>
      </w:tr>
      <w:tr w:rsidR="001A74FE" w:rsidRPr="00F5314F" w14:paraId="309F6E2F" w14:textId="77777777" w:rsidTr="006B7F3D">
        <w:tc>
          <w:tcPr>
            <w:tcW w:w="2405" w:type="dxa"/>
            <w:shd w:val="clear" w:color="auto" w:fill="E6E6E6"/>
          </w:tcPr>
          <w:p w14:paraId="42D829BB" w14:textId="2291B774" w:rsidR="001A74FE" w:rsidRPr="00F5314F" w:rsidRDefault="001A74FE" w:rsidP="001A74FE">
            <w:pPr>
              <w:spacing w:after="120" w:line="240" w:lineRule="auto"/>
              <w:rPr>
                <w:rFonts w:ascii="Times New Roman" w:eastAsia="Times New Roman" w:hAnsi="Times New Roman"/>
                <w:b/>
                <w:snapToGrid w:val="0"/>
                <w:sz w:val="24"/>
                <w:szCs w:val="24"/>
              </w:rPr>
            </w:pPr>
            <w:r w:rsidRPr="007A6543">
              <w:rPr>
                <w:rFonts w:ascii="Times New Roman" w:eastAsia="Times New Roman" w:hAnsi="Times New Roman"/>
                <w:b/>
                <w:snapToGrid w:val="0"/>
                <w:sz w:val="24"/>
                <w:szCs w:val="24"/>
              </w:rPr>
              <w:t>Възстановим данък върху добавената стойност</w:t>
            </w:r>
          </w:p>
        </w:tc>
        <w:tc>
          <w:tcPr>
            <w:tcW w:w="7371" w:type="dxa"/>
            <w:shd w:val="clear" w:color="auto" w:fill="F3F3F3"/>
          </w:tcPr>
          <w:p w14:paraId="79C5B436" w14:textId="4B379304" w:rsidR="001A74FE" w:rsidRPr="001A74FE" w:rsidRDefault="001A74FE" w:rsidP="001A74FE">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Съгласно </w:t>
            </w:r>
            <w:r w:rsidRPr="007A6543">
              <w:rPr>
                <w:rFonts w:ascii="Times New Roman" w:eastAsia="Times New Roman" w:hAnsi="Times New Roman"/>
                <w:snapToGrid w:val="0"/>
                <w:sz w:val="24"/>
                <w:szCs w:val="24"/>
              </w:rPr>
              <w:t>§ 1</w:t>
            </w:r>
            <w:r>
              <w:rPr>
                <w:rFonts w:ascii="Times New Roman" w:eastAsia="Times New Roman" w:hAnsi="Times New Roman"/>
                <w:snapToGrid w:val="0"/>
                <w:sz w:val="24"/>
                <w:szCs w:val="24"/>
              </w:rPr>
              <w:t>, т. 2 от Допълнителните разпоредби на ПМС № 86/01.06.2023 г. в</w:t>
            </w:r>
            <w:r w:rsidRPr="007A6543">
              <w:rPr>
                <w:rFonts w:ascii="Times New Roman" w:eastAsia="Times New Roman" w:hAnsi="Times New Roman"/>
                <w:snapToGrid w:val="0"/>
                <w:sz w:val="24"/>
                <w:szCs w:val="24"/>
              </w:rPr>
              <w:t xml:space="preserve">ъзстановим </w:t>
            </w:r>
            <w:r>
              <w:rPr>
                <w:rFonts w:ascii="Times New Roman" w:eastAsia="Times New Roman" w:hAnsi="Times New Roman"/>
                <w:snapToGrid w:val="0"/>
                <w:sz w:val="24"/>
                <w:szCs w:val="24"/>
              </w:rPr>
              <w:t>данък върху добавената стойност</w:t>
            </w:r>
            <w:r w:rsidRPr="007A6543">
              <w:rPr>
                <w:rFonts w:ascii="Times New Roman" w:eastAsia="Times New Roman" w:hAnsi="Times New Roman"/>
                <w:snapToGrid w:val="0"/>
                <w:sz w:val="24"/>
                <w:szCs w:val="24"/>
              </w:rPr>
              <w:t xml:space="preserve"> е сумата на платения данък върху добавената стойност, която регистрирано по реда на Закона за данък върху добавената стойност лице има право да приспадне от задълженията си по Закона за данък</w:t>
            </w:r>
            <w:r>
              <w:rPr>
                <w:rFonts w:ascii="Times New Roman" w:eastAsia="Times New Roman" w:hAnsi="Times New Roman"/>
                <w:snapToGrid w:val="0"/>
                <w:sz w:val="24"/>
                <w:szCs w:val="24"/>
              </w:rPr>
              <w:t>а</w:t>
            </w:r>
            <w:r w:rsidRPr="007A6543">
              <w:rPr>
                <w:rFonts w:ascii="Times New Roman" w:eastAsia="Times New Roman" w:hAnsi="Times New Roman"/>
                <w:snapToGrid w:val="0"/>
                <w:sz w:val="24"/>
                <w:szCs w:val="24"/>
              </w:rPr>
              <w:t xml:space="preserve"> </w:t>
            </w:r>
            <w:r w:rsidRPr="007A6543">
              <w:rPr>
                <w:rFonts w:ascii="Times New Roman" w:eastAsia="Times New Roman" w:hAnsi="Times New Roman"/>
                <w:snapToGrid w:val="0"/>
                <w:sz w:val="24"/>
                <w:szCs w:val="24"/>
              </w:rPr>
              <w:lastRenderedPageBreak/>
              <w:t>върху добавената стойност, включително когато, като е имало това право, не го е упражнило по реда на закона.</w:t>
            </w:r>
          </w:p>
        </w:tc>
      </w:tr>
      <w:tr w:rsidR="001A74FE" w:rsidRPr="00F5314F" w14:paraId="5EF6D477" w14:textId="77777777" w:rsidTr="006B7F3D">
        <w:tc>
          <w:tcPr>
            <w:tcW w:w="2405" w:type="dxa"/>
            <w:shd w:val="clear" w:color="auto" w:fill="E6E6E6"/>
          </w:tcPr>
          <w:p w14:paraId="4C99936A"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Горски продукт</w:t>
            </w:r>
          </w:p>
        </w:tc>
        <w:tc>
          <w:tcPr>
            <w:tcW w:w="7371" w:type="dxa"/>
            <w:shd w:val="clear" w:color="auto" w:fill="F3F3F3"/>
          </w:tcPr>
          <w:p w14:paraId="3AB927B1" w14:textId="6A86CA5D"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Дървесина и недървесни горски продукти. „Недървесни горски продукти</w:t>
            </w:r>
            <w:r w:rsidR="005D5E9C" w:rsidRPr="005D5E9C">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са смола, борина, сено, кори, лико, семена, гъби, лечебни и ароматни растения или части от тях, лишеи, мъхове, горски плодове, зеленина, коледни елхи, листников фураж, животни, които не са дивеч.</w:t>
            </w:r>
          </w:p>
          <w:p w14:paraId="6C349780"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Дефиницията включва и продукти от следните производства преди индустриалната преработка на дървесината:</w:t>
            </w:r>
          </w:p>
          <w:p w14:paraId="38A50069" w14:textId="77777777" w:rsidR="001A74FE" w:rsidRPr="00F5314F"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Машинно обработване на дървен материал чрез бичене, фрезоване, комбинирано или рязане или развиване; </w:t>
            </w:r>
          </w:p>
          <w:p w14:paraId="2D0DA02D" w14:textId="77777777" w:rsidR="001A74FE" w:rsidRPr="00F5314F"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Нарязване, сортиране, рендосване, профилиране, окрайчване, фасониране и шлайфане; </w:t>
            </w:r>
          </w:p>
          <w:p w14:paraId="7EC6A4A0" w14:textId="77777777" w:rsidR="001A74FE" w:rsidRPr="00F5314F"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Сушене и импрегниране на дървен материал; </w:t>
            </w:r>
          </w:p>
          <w:p w14:paraId="25A69CDE" w14:textId="77777777" w:rsidR="001A74FE" w:rsidRPr="00F5314F"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Производство</w:t>
            </w:r>
            <w:r w:rsidRPr="00F5314F">
              <w:rPr>
                <w:rFonts w:ascii="Times New Roman" w:eastAsia="Times New Roman" w:hAnsi="Times New Roman"/>
                <w:i/>
                <w:iCs/>
                <w:sz w:val="24"/>
                <w:szCs w:val="24"/>
              </w:rPr>
              <w:t xml:space="preserve"> </w:t>
            </w:r>
            <w:r w:rsidRPr="00F5314F">
              <w:rPr>
                <w:rFonts w:ascii="Times New Roman" w:eastAsia="Times New Roman" w:hAnsi="Times New Roman"/>
                <w:snapToGrid w:val="0"/>
                <w:sz w:val="24"/>
                <w:szCs w:val="24"/>
              </w:rPr>
              <w:t xml:space="preserve">на дървесен талаш, дървесно брашно, технологични трески, дървесни пелети и брикети от необработени дървени материали, вършина и други дървесни отпадъци; </w:t>
            </w:r>
          </w:p>
          <w:p w14:paraId="03DCA52D" w14:textId="77777777" w:rsidR="001A74FE" w:rsidRPr="00F5314F"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Производство на колове или колчета: белене, цепене, заостряне, пакетиране; </w:t>
            </w:r>
          </w:p>
          <w:p w14:paraId="42B96F7D" w14:textId="77777777" w:rsidR="001A74FE" w:rsidRPr="00D430E1"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Производство на дърва за горене: рязане, цепене</w:t>
            </w:r>
            <w:r w:rsidRPr="00F5314F">
              <w:rPr>
                <w:rFonts w:ascii="Times New Roman" w:eastAsia="Times New Roman" w:hAnsi="Times New Roman"/>
                <w:i/>
                <w:iCs/>
                <w:sz w:val="24"/>
                <w:szCs w:val="24"/>
              </w:rPr>
              <w:t xml:space="preserve">, </w:t>
            </w:r>
            <w:r w:rsidRPr="00F5314F">
              <w:rPr>
                <w:rFonts w:ascii="Times New Roman" w:eastAsia="Times New Roman" w:hAnsi="Times New Roman"/>
                <w:snapToGrid w:val="0"/>
                <w:sz w:val="24"/>
                <w:szCs w:val="24"/>
              </w:rPr>
              <w:t>пакетиране;</w:t>
            </w:r>
          </w:p>
        </w:tc>
      </w:tr>
      <w:tr w:rsidR="001A74FE" w:rsidRPr="00F5314F" w14:paraId="1C7F0F53" w14:textId="77777777" w:rsidTr="006B7F3D">
        <w:tc>
          <w:tcPr>
            <w:tcW w:w="2405" w:type="dxa"/>
            <w:shd w:val="clear" w:color="auto" w:fill="E6E6E6"/>
          </w:tcPr>
          <w:p w14:paraId="3E41D310"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Група предприятия</w:t>
            </w:r>
          </w:p>
        </w:tc>
        <w:tc>
          <w:tcPr>
            <w:tcW w:w="7371" w:type="dxa"/>
            <w:shd w:val="clear" w:color="auto" w:fill="F3F3F3"/>
          </w:tcPr>
          <w:p w14:paraId="1517B9FA" w14:textId="404D72B4" w:rsidR="001A74FE" w:rsidRPr="00F5314F" w:rsidRDefault="005D5E9C" w:rsidP="001A74FE">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„Група</w:t>
            </w:r>
            <w:r w:rsidRPr="005D5E9C">
              <w:rPr>
                <w:rFonts w:ascii="Times New Roman" w:eastAsia="Times New Roman" w:hAnsi="Times New Roman"/>
                <w:snapToGrid w:val="0"/>
                <w:sz w:val="24"/>
                <w:szCs w:val="24"/>
              </w:rPr>
              <w:t>”</w:t>
            </w:r>
            <w:r w:rsidR="001A74FE" w:rsidRPr="00F5314F">
              <w:rPr>
                <w:rFonts w:ascii="Times New Roman" w:eastAsia="Times New Roman" w:hAnsi="Times New Roman"/>
                <w:snapToGrid w:val="0"/>
                <w:sz w:val="24"/>
                <w:szCs w:val="24"/>
              </w:rPr>
              <w:t xml:space="preserve"> означава предприятие майка и всички нег</w:t>
            </w:r>
            <w:r>
              <w:rPr>
                <w:rFonts w:ascii="Times New Roman" w:eastAsia="Times New Roman" w:hAnsi="Times New Roman"/>
                <w:snapToGrid w:val="0"/>
                <w:sz w:val="24"/>
                <w:szCs w:val="24"/>
              </w:rPr>
              <w:t>ови дъщерни предприятия, като: „предприятие майка</w:t>
            </w:r>
            <w:r w:rsidRPr="005D5E9C">
              <w:rPr>
                <w:rFonts w:ascii="Times New Roman" w:eastAsia="Times New Roman" w:hAnsi="Times New Roman"/>
                <w:snapToGrid w:val="0"/>
                <w:sz w:val="24"/>
                <w:szCs w:val="24"/>
              </w:rPr>
              <w:t>”</w:t>
            </w:r>
            <w:r w:rsidR="001A74FE" w:rsidRPr="00F5314F">
              <w:rPr>
                <w:rFonts w:ascii="Times New Roman" w:eastAsia="Times New Roman" w:hAnsi="Times New Roman"/>
                <w:snapToGrid w:val="0"/>
                <w:sz w:val="24"/>
                <w:szCs w:val="24"/>
              </w:rPr>
              <w:t xml:space="preserve"> означава предприятие, което контролира едно или повече дъщерни предприятия и</w:t>
            </w:r>
            <w:r>
              <w:rPr>
                <w:rFonts w:ascii="Times New Roman" w:eastAsia="Times New Roman" w:hAnsi="Times New Roman"/>
                <w:snapToGrid w:val="0"/>
                <w:sz w:val="24"/>
                <w:szCs w:val="24"/>
              </w:rPr>
              <w:t xml:space="preserve"> съответно „дъщерно предприятие</w:t>
            </w:r>
            <w:r w:rsidRPr="005D5E9C">
              <w:rPr>
                <w:rFonts w:ascii="Times New Roman" w:eastAsia="Times New Roman" w:hAnsi="Times New Roman"/>
                <w:snapToGrid w:val="0"/>
                <w:sz w:val="24"/>
                <w:szCs w:val="24"/>
              </w:rPr>
              <w:t>”</w:t>
            </w:r>
            <w:r w:rsidR="001A74FE" w:rsidRPr="00F5314F">
              <w:rPr>
                <w:rFonts w:ascii="Times New Roman" w:eastAsia="Times New Roman" w:hAnsi="Times New Roman"/>
                <w:snapToGrid w:val="0"/>
                <w:sz w:val="24"/>
                <w:szCs w:val="24"/>
              </w:rPr>
              <w:t xml:space="preserve"> означава предприятие, което се контролира от предприятие майка, включително дъщерно предприятие на крайно предприятие майка.</w:t>
            </w:r>
          </w:p>
          <w:p w14:paraId="7E4AF3FC" w14:textId="1426330F"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регистъра на ЮЛНЦ), отчитайки възможността общият източник на контрол да се осъществява, както от предприятия, така и от физически лица, участващи в управлението им.</w:t>
            </w:r>
          </w:p>
        </w:tc>
      </w:tr>
      <w:tr w:rsidR="001A74FE" w:rsidRPr="00F5314F" w14:paraId="4A7D8DB8" w14:textId="77777777" w:rsidTr="006B7F3D">
        <w:tc>
          <w:tcPr>
            <w:tcW w:w="2405" w:type="dxa"/>
            <w:shd w:val="clear" w:color="auto" w:fill="E6E6E6"/>
          </w:tcPr>
          <w:p w14:paraId="517B9188"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Дата на предоставяне на помощта</w:t>
            </w:r>
          </w:p>
        </w:tc>
        <w:tc>
          <w:tcPr>
            <w:tcW w:w="7371" w:type="dxa"/>
            <w:shd w:val="clear" w:color="auto" w:fill="F3F3F3"/>
          </w:tcPr>
          <w:p w14:paraId="0C8AF8F5" w14:textId="7BE16FC1"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Съгласно чл. 2, пар. 28 от Регламент (ЕС) № 651/2014 и чл. 3, пар. </w:t>
            </w:r>
            <w:r>
              <w:rPr>
                <w:rFonts w:ascii="Times New Roman" w:eastAsia="Times New Roman" w:hAnsi="Times New Roman"/>
                <w:snapToGrid w:val="0"/>
                <w:sz w:val="24"/>
                <w:szCs w:val="24"/>
              </w:rPr>
              <w:t>3</w:t>
            </w:r>
            <w:r w:rsidRPr="00F5314F">
              <w:rPr>
                <w:rFonts w:ascii="Times New Roman" w:eastAsia="Times New Roman" w:hAnsi="Times New Roman"/>
                <w:snapToGrid w:val="0"/>
                <w:sz w:val="24"/>
                <w:szCs w:val="24"/>
              </w:rPr>
              <w:t xml:space="preserve"> от Регламент (ЕС) № </w:t>
            </w:r>
            <w:r w:rsidRPr="00F80849">
              <w:rPr>
                <w:rFonts w:ascii="Times New Roman" w:eastAsia="Times New Roman" w:hAnsi="Times New Roman"/>
                <w:snapToGrid w:val="0"/>
                <w:sz w:val="24"/>
                <w:szCs w:val="24"/>
              </w:rPr>
              <w:t>2023/2831</w:t>
            </w:r>
            <w:r w:rsidRPr="00F5314F">
              <w:rPr>
                <w:rFonts w:ascii="Times New Roman" w:eastAsia="Times New Roman" w:hAnsi="Times New Roman"/>
                <w:snapToGrid w:val="0"/>
                <w:sz w:val="24"/>
                <w:szCs w:val="24"/>
              </w:rPr>
              <w:t>, дата на предоставяне на помощта означава датата, на която законовото право на получаване на помощта се предоставя на бенефициера съгласно приложимия национален режим, независимо от датата на плащане на помощта на предприятието. По настоящата процедура, дата на предоставяне на помощта е датата на сключване на административния договор за предоставяне на безвъзмездна финансова помощ.</w:t>
            </w:r>
          </w:p>
        </w:tc>
      </w:tr>
      <w:tr w:rsidR="001A74FE" w:rsidRPr="00F5314F" w14:paraId="16A8DE6C" w14:textId="77777777" w:rsidTr="006B7F3D">
        <w:tc>
          <w:tcPr>
            <w:tcW w:w="2405" w:type="dxa"/>
            <w:shd w:val="clear" w:color="auto" w:fill="E6E6E6"/>
          </w:tcPr>
          <w:p w14:paraId="4DB2A6F5"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Дейност</w:t>
            </w:r>
          </w:p>
        </w:tc>
        <w:tc>
          <w:tcPr>
            <w:tcW w:w="7371" w:type="dxa"/>
            <w:shd w:val="clear" w:color="auto" w:fill="F3F3F3"/>
          </w:tcPr>
          <w:p w14:paraId="59BBDA0C"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Задача или група от задачи (действие или група от действия), които имат (водят до постигане на) конкретен резултат (резултат/продукт) и чрез които се реализира изпълнението на съответния проект.</w:t>
            </w:r>
          </w:p>
        </w:tc>
      </w:tr>
      <w:tr w:rsidR="001A74FE" w:rsidRPr="00F5314F" w14:paraId="58284D6D" w14:textId="77777777" w:rsidTr="006B7F3D">
        <w:tc>
          <w:tcPr>
            <w:tcW w:w="2405" w:type="dxa"/>
            <w:shd w:val="clear" w:color="auto" w:fill="E6E6E6"/>
          </w:tcPr>
          <w:p w14:paraId="67698377"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Единен инвестиционен проект</w:t>
            </w:r>
            <w:r w:rsidRPr="00F5314F">
              <w:t xml:space="preserve"> (</w:t>
            </w:r>
            <w:r w:rsidRPr="00F5314F">
              <w:rPr>
                <w:rFonts w:ascii="Times New Roman" w:eastAsia="Times New Roman" w:hAnsi="Times New Roman"/>
                <w:b/>
                <w:snapToGrid w:val="0"/>
                <w:sz w:val="24"/>
                <w:szCs w:val="24"/>
              </w:rPr>
              <w:t>един и същ инвестиционен проект)</w:t>
            </w:r>
          </w:p>
        </w:tc>
        <w:tc>
          <w:tcPr>
            <w:tcW w:w="7371" w:type="dxa"/>
            <w:shd w:val="clear" w:color="auto" w:fill="F3F3F3"/>
          </w:tcPr>
          <w:p w14:paraId="55E548D7"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Съгласно чл. 14, пар. 13 от Регламент (ЕС) № 651/2014 на Комисията, всяка първоначална инвестиция, свързана със същата или подобна дейност, започната от един и същ бенефициент (на равнище група) в срок от три години, считано от започването на работите по друга подпомогната инвестиция в същия регион от ниво 3 по Общата класификация на териториалните единици за статистически цели </w:t>
            </w:r>
            <w:r w:rsidRPr="00D430E1">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ниво </w:t>
            </w:r>
            <w:r w:rsidRPr="00F5314F">
              <w:rPr>
                <w:rFonts w:ascii="Times New Roman" w:eastAsia="Times New Roman" w:hAnsi="Times New Roman"/>
                <w:snapToGrid w:val="0"/>
                <w:sz w:val="24"/>
                <w:szCs w:val="24"/>
                <w:lang w:val="en-US"/>
              </w:rPr>
              <w:t>NUTS</w:t>
            </w:r>
            <w:r w:rsidRPr="00F5314F">
              <w:rPr>
                <w:rFonts w:ascii="Times New Roman" w:eastAsia="Times New Roman" w:hAnsi="Times New Roman"/>
                <w:snapToGrid w:val="0"/>
                <w:sz w:val="24"/>
                <w:szCs w:val="24"/>
              </w:rPr>
              <w:t>-</w:t>
            </w:r>
            <w:r w:rsidRPr="00D430E1">
              <w:rPr>
                <w:rFonts w:ascii="Times New Roman" w:eastAsia="Times New Roman" w:hAnsi="Times New Roman"/>
                <w:snapToGrid w:val="0"/>
                <w:sz w:val="24"/>
                <w:szCs w:val="24"/>
              </w:rPr>
              <w:t xml:space="preserve">3 - </w:t>
            </w:r>
            <w:r w:rsidRPr="00F5314F">
              <w:rPr>
                <w:rFonts w:ascii="Times New Roman" w:eastAsia="Times New Roman" w:hAnsi="Times New Roman"/>
                <w:snapToGrid w:val="0"/>
                <w:sz w:val="24"/>
                <w:szCs w:val="24"/>
                <w:lang w:val="en-US"/>
              </w:rPr>
              <w:t>a</w:t>
            </w:r>
            <w:r w:rsidRPr="00D430E1">
              <w:rPr>
                <w:rFonts w:ascii="Times New Roman" w:eastAsia="Times New Roman" w:hAnsi="Times New Roman"/>
                <w:snapToGrid w:val="0"/>
                <w:sz w:val="24"/>
                <w:szCs w:val="24"/>
              </w:rPr>
              <w:t>дминистративна единица</w:t>
            </w:r>
            <w:r w:rsidRPr="00F5314F">
              <w:rPr>
                <w:rFonts w:ascii="Times New Roman" w:eastAsia="Times New Roman" w:hAnsi="Times New Roman"/>
                <w:snapToGrid w:val="0"/>
                <w:sz w:val="24"/>
                <w:szCs w:val="24"/>
              </w:rPr>
              <w:t>:</w:t>
            </w:r>
            <w:r w:rsidRPr="00D430E1">
              <w:rPr>
                <w:rFonts w:ascii="Times New Roman" w:eastAsia="Times New Roman" w:hAnsi="Times New Roman"/>
                <w:snapToGrid w:val="0"/>
                <w:sz w:val="24"/>
                <w:szCs w:val="24"/>
              </w:rPr>
              <w:t xml:space="preserve"> област</w:t>
            </w:r>
            <w:r w:rsidRPr="00F5314F">
              <w:rPr>
                <w:rFonts w:ascii="Times New Roman" w:eastAsia="Times New Roman" w:hAnsi="Times New Roman"/>
                <w:snapToGrid w:val="0"/>
                <w:sz w:val="24"/>
                <w:szCs w:val="24"/>
              </w:rPr>
              <w:t>),</w:t>
            </w:r>
            <w:r w:rsidRPr="00F5314F">
              <w:t xml:space="preserve"> </w:t>
            </w:r>
            <w:r w:rsidRPr="00D430E1">
              <w:rPr>
                <w:rFonts w:ascii="Times New Roman" w:eastAsia="Times New Roman" w:hAnsi="Times New Roman"/>
                <w:snapToGrid w:val="0"/>
                <w:sz w:val="24"/>
                <w:szCs w:val="24"/>
              </w:rPr>
              <w:t>се смята за част от един и същ инвестиционен проект</w:t>
            </w:r>
            <w:r w:rsidRPr="00F5314F">
              <w:rPr>
                <w:rFonts w:ascii="Times New Roman" w:eastAsia="Times New Roman" w:hAnsi="Times New Roman"/>
                <w:snapToGrid w:val="0"/>
                <w:sz w:val="24"/>
                <w:szCs w:val="24"/>
              </w:rPr>
              <w:t>.</w:t>
            </w:r>
          </w:p>
        </w:tc>
      </w:tr>
      <w:tr w:rsidR="001A74FE" w:rsidRPr="00F5314F" w14:paraId="73498325" w14:textId="77777777" w:rsidTr="006B7F3D">
        <w:tc>
          <w:tcPr>
            <w:tcW w:w="2405" w:type="dxa"/>
            <w:shd w:val="clear" w:color="auto" w:fill="E6E6E6"/>
          </w:tcPr>
          <w:p w14:paraId="1D2F28F7"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Едно и също предприятие</w:t>
            </w:r>
          </w:p>
        </w:tc>
        <w:tc>
          <w:tcPr>
            <w:tcW w:w="7371" w:type="dxa"/>
            <w:shd w:val="clear" w:color="auto" w:fill="F3F3F3"/>
          </w:tcPr>
          <w:p w14:paraId="35434174" w14:textId="493F8354"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Calibri" w:hAnsi="Times New Roman"/>
                <w:bCs/>
                <w:sz w:val="24"/>
                <w:szCs w:val="24"/>
              </w:rPr>
              <w:t xml:space="preserve">Съгласно чл. 2, пар. 2 на Регламент (ЕС) № </w:t>
            </w:r>
            <w:r w:rsidRPr="00F80849">
              <w:rPr>
                <w:rFonts w:ascii="Times New Roman" w:eastAsia="Calibri" w:hAnsi="Times New Roman"/>
                <w:bCs/>
                <w:sz w:val="24"/>
                <w:szCs w:val="24"/>
              </w:rPr>
              <w:t xml:space="preserve">2023/2831 </w:t>
            </w:r>
            <w:r w:rsidRPr="00F5314F">
              <w:rPr>
                <w:rFonts w:ascii="Times New Roman" w:eastAsia="Calibri" w:hAnsi="Times New Roman"/>
                <w:bCs/>
                <w:sz w:val="24"/>
                <w:szCs w:val="24"/>
              </w:rPr>
              <w:t xml:space="preserve"> </w:t>
            </w:r>
            <w:r w:rsidRPr="00F5314F">
              <w:rPr>
                <w:rFonts w:ascii="Times New Roman" w:eastAsia="Times New Roman" w:hAnsi="Times New Roman"/>
                <w:snapToGrid w:val="0"/>
                <w:sz w:val="24"/>
                <w:szCs w:val="24"/>
              </w:rPr>
              <w:t xml:space="preserve">„едно и също предприятие“ означава всички предприятия, които поддържат помежду си поне един вид от следните взаимоотношения: </w:t>
            </w:r>
          </w:p>
          <w:p w14:paraId="7032E20B"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а) дадено предприятие притежава мнозинството от гласовете на акционерите или съдружниците в друго предприятие; </w:t>
            </w:r>
          </w:p>
          <w:p w14:paraId="6B16B734"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617F45CB"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14:paraId="6AA558FB"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 </w:t>
            </w:r>
          </w:p>
          <w:p w14:paraId="64538606"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Предприятия, поддържащи едно от взаимоотношенията по букви а) - г) посредством едно или няколко други предприятия, също се разглеждат като едно и също предприятие.</w:t>
            </w:r>
          </w:p>
        </w:tc>
      </w:tr>
      <w:tr w:rsidR="001A74FE" w:rsidRPr="00F5314F" w14:paraId="42EF1C69" w14:textId="77777777" w:rsidTr="006B7F3D">
        <w:tc>
          <w:tcPr>
            <w:tcW w:w="2405" w:type="dxa"/>
            <w:shd w:val="clear" w:color="auto" w:fill="E6E6E6"/>
          </w:tcPr>
          <w:p w14:paraId="66392304"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Енергийна инфраструктура </w:t>
            </w:r>
          </w:p>
        </w:tc>
        <w:tc>
          <w:tcPr>
            <w:tcW w:w="7371" w:type="dxa"/>
            <w:shd w:val="clear" w:color="auto" w:fill="F3F3F3"/>
          </w:tcPr>
          <w:p w14:paraId="390144F8" w14:textId="05C22030" w:rsidR="001A74FE" w:rsidRPr="00F5314F" w:rsidRDefault="001A74FE" w:rsidP="001A74FE">
            <w:pPr>
              <w:spacing w:before="60" w:after="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По смисъла на чл. 2 от Регламент (ЕС) № 651/2014 „енергий</w:t>
            </w:r>
            <w:r w:rsidR="005D5E9C">
              <w:rPr>
                <w:rFonts w:ascii="Times New Roman" w:eastAsia="Times New Roman" w:hAnsi="Times New Roman"/>
                <w:snapToGrid w:val="0"/>
                <w:sz w:val="24"/>
                <w:szCs w:val="24"/>
              </w:rPr>
              <w:t>на инфраструктура</w:t>
            </w:r>
            <w:r w:rsidR="005D5E9C" w:rsidRPr="005D5E9C">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означава всякакво материално оборудване или съоръжения, които са разположени в</w:t>
            </w:r>
            <w:r w:rsidRPr="00F5314F">
              <w:rPr>
                <w:rFonts w:ascii="Times New Roman" w:eastAsia="Times New Roman" w:hAnsi="Times New Roman"/>
                <w:snapToGrid w:val="0"/>
                <w:sz w:val="24"/>
                <w:szCs w:val="24"/>
              </w:rPr>
              <w:br/>
              <w:t>Съюза или свързват Съюза с една или повече трети държави и които попадат в една от следните категории:</w:t>
            </w:r>
          </w:p>
          <w:p w14:paraId="00BFA2E2" w14:textId="77777777" w:rsidR="001A74FE" w:rsidRPr="00F5314F" w:rsidRDefault="001A74FE" w:rsidP="001A74FE">
            <w:pPr>
              <w:spacing w:before="60" w:after="60" w:line="240" w:lineRule="auto"/>
              <w:jc w:val="both"/>
              <w:rPr>
                <w:rFonts w:ascii="Times New Roman" w:hAnsi="Times New Roman"/>
                <w:sz w:val="24"/>
                <w:szCs w:val="24"/>
              </w:rPr>
            </w:pPr>
            <w:r w:rsidRPr="00F5314F">
              <w:rPr>
                <w:rFonts w:ascii="Times New Roman" w:hAnsi="Times New Roman"/>
                <w:sz w:val="24"/>
                <w:szCs w:val="24"/>
              </w:rPr>
              <w:t xml:space="preserve">а) електроенергия: </w:t>
            </w:r>
          </w:p>
          <w:p w14:paraId="52D861D6" w14:textId="77777777" w:rsidR="001A74FE" w:rsidRPr="00F5314F" w:rsidRDefault="001A74FE" w:rsidP="001A74FE">
            <w:pPr>
              <w:spacing w:before="60" w:after="60" w:line="240" w:lineRule="auto"/>
              <w:jc w:val="both"/>
              <w:rPr>
                <w:rFonts w:ascii="Times New Roman" w:eastAsia="Times New Roman" w:hAnsi="Times New Roman"/>
                <w:snapToGrid w:val="0"/>
                <w:sz w:val="24"/>
                <w:szCs w:val="24"/>
              </w:rPr>
            </w:pPr>
            <w:r w:rsidRPr="00F5314F">
              <w:rPr>
                <w:rFonts w:ascii="Times New Roman" w:hAnsi="Times New Roman"/>
                <w:sz w:val="24"/>
                <w:szCs w:val="24"/>
              </w:rPr>
              <w:t xml:space="preserve">i) системи за пренос и разпределение, като „пренос“ означава транспортирането на електроенергия на сушата и в открити води по свързана мрежа със свръхвисоко и високо напрежение с цел нейната доставка до крайни потребители или до разпределителни предприятия, но без да се включва пласмент, а „разпределение“ означава транспортирането на електроенергия на сушата и в открити води по разпределителни системи с високо, средно и ниско напрежение с цел нейната доставка до потребители, но без да се включва пласмент; </w:t>
            </w:r>
          </w:p>
          <w:p w14:paraId="522E2F40"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 xml:space="preserve">ii) всякакво оборудване или инсталации, които са от основно значение за безопасната, сигурна и ефективна работа на системите, посочени в подточка i), включително системите за защита, следене и управление за всички напрежения и подстанции; </w:t>
            </w:r>
          </w:p>
          <w:p w14:paraId="50D78DC1"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lastRenderedPageBreak/>
              <w:t xml:space="preserve">iii) напълно интегрирани мрежови компоненти съгласно определението в член 2, точка (51) от Директива (ЕС) 2019/944 на Европейския парламент и на Съвета; </w:t>
            </w:r>
          </w:p>
          <w:p w14:paraId="78660757"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 xml:space="preserve">iv) интелигентни електроенергийни мрежи, което означава системи и компоненти, в които са интегрирани информационни и комуникационни технологии посредством оперативни цифрови платформи, системи за контрол и сензорни технологии на нивото на преносните мрежи и на разпределителните мрежи с цел изграждане на по-сигурни, ефективни и интелигентни преносни и разпределителни мрежи, увеличаване на способността за интегриране на нови форми за производство, съхраняване и потребление на енергия и улесняване на нови бизнес модели и пазарни структури; </w:t>
            </w:r>
          </w:p>
          <w:p w14:paraId="7D3499D3"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v) електроенергийни мрежи в морето, което означава всяко съоръжение или всяка инсталация, в чийто състав се включва инфраструктура за пренос или разпределение на електроенергия съгласно определението в подточка i) по-горе, което притежава двойна функционалност: междусистемна свързаност и пренос или разпределение на електроенергия от възобновяеми източници в морето от обекти за производство, разположени в открити води, до две или повече държави. Това включва също интелигентни мрежи, както и съседни съоръжения или инсталации, които са разположени в морето и имат основно значение за безопасната, сигурна и ефективна експлоатация, включително системи за защита, следене и контрол, и необходимите подстанции, ако те също гарантират оперативна съвместимост и, наред с другото, съвместимост на интерфейсите между различни технологии.</w:t>
            </w:r>
          </w:p>
          <w:p w14:paraId="65FE325B"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б) газ (природен газ, биогаз — включително биометан — и/или газ от възобновяеми източници, но с небиологичен произход):</w:t>
            </w:r>
          </w:p>
          <w:p w14:paraId="63DEACE4"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 xml:space="preserve">i) преносни и разпределителни газопроводи за транспортиране на газ, които са част от мрежа, с изключение на газопроводите с високо налягане, използвани за разпределение на природен газ в сборната част от мрежата; </w:t>
            </w:r>
          </w:p>
          <w:p w14:paraId="709B8CE1"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ii) подземни хранилища, свързани с посочените в подточка i) газопроводи с високо налягане;</w:t>
            </w:r>
          </w:p>
          <w:p w14:paraId="1A787CB7"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 xml:space="preserve">iii) съоръжения за приемане, съхраняване и регазификация или понижаване на налягането на втечнен или сгъстен газ; </w:t>
            </w:r>
          </w:p>
          <w:p w14:paraId="1B553E64"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 xml:space="preserve">iv) всякакво оборудване или инсталации, които са от основно значение за безопасната, сигурна и ефективна работа на системата или за осигуряване на възможност за двупосочен капацитет, включително компресорни станции; </w:t>
            </w:r>
          </w:p>
          <w:p w14:paraId="304747DD"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 xml:space="preserve">v) интелигентни газопреносни мрежи, което означава всяко или всяка от следните съоръжения или инсталации, предназначени за създаване на възможности или за улесняване на интегрирането в мрежата на възобновяеми и нисковъглеродни газове (включително водород или газове от небиологичен произход): цифрови системи и компоненти, в които са интегрирани информационни и комуникационни технологии, системи за управление и сензорни технологии с цел осигуряване на възможност за интерактивно и интелигентно следене, измерване, контрол на качеството и управление на производството, </w:t>
            </w:r>
            <w:r w:rsidRPr="00F5314F">
              <w:rPr>
                <w:rFonts w:ascii="Times New Roman" w:hAnsi="Times New Roman"/>
                <w:sz w:val="24"/>
                <w:szCs w:val="24"/>
              </w:rPr>
              <w:lastRenderedPageBreak/>
              <w:t>преноса, разпределението и потреблението на газ в газопреносната мрежа. Освен това интелигентните мрежи може също да включват съоръжения, предоставящи възможност за реверсивно подаване на газ от разпределителното към преносното ниво и съответните необходими модернизации на съществуващата мрежа.</w:t>
            </w:r>
          </w:p>
          <w:p w14:paraId="399CB257"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 xml:space="preserve">в) водород: </w:t>
            </w:r>
          </w:p>
          <w:p w14:paraId="4B729144"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 xml:space="preserve">i) преносни тръбопроводи за транспортиране на водород под високо налягане, както и разпределителни тръбопроводи за локално разпределение на водород, чрез които се предоставя достъп на множество ползватели на мрежата въз основа на прозрачни и недискриминационни условия; </w:t>
            </w:r>
          </w:p>
          <w:p w14:paraId="053BB97F"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ii) съоръжения за съхранение, което означава съоръжения, използвани за складиране на водород с висока чистота. Тук се включва частта от водородния терминал, използвана за съхранение, с изключение на частта, използвана за производствени операции, както и съоръженията, които се ползват единствено от операторите на водородни мрежи при изпълнението на техните функции. Съоръженията за съхранение на водород включват подземни хранилища, свързани с посочените в подточка i) тръбопроводи за транспортиране на водород под високо налягане;</w:t>
            </w:r>
          </w:p>
          <w:p w14:paraId="5F47DDCE"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 xml:space="preserve">iii) съоръжения за диспечиране, приемане, съхранение и регазификация или понижаване на налягането на водород или на водород, съдържащ се в други химични вещества, с цел нагнетяването му или в мрежа за газ, или в мрежа, специално предназначена за водород; </w:t>
            </w:r>
          </w:p>
          <w:p w14:paraId="6315092A"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 xml:space="preserve">iv) терминали, което означава инсталации, използвани за преобразуване на течен водород в газообразен водород за нагнетяването му във водородната мрежа. Терминалите включват спомагателно оборудване и съоръжения за временно съхранение, необходими за процеса на преобразуване и последващото нагнетяване във водородната мрежа, но не включват части от водородния терминал, използвани за съхранение; </w:t>
            </w:r>
          </w:p>
          <w:p w14:paraId="390D8E96"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 xml:space="preserve">v) междусистемни връзки, което означава водородна мрежа (или част от нея), която пресича или се простира върху граница между държави членки или между държава членка и трета държава до територията на държавите членки или териториалното море на тази държава членка; </w:t>
            </w:r>
          </w:p>
          <w:p w14:paraId="5823F3C5"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vi) всякакво оборудване или инсталации, които са от основно значение за безопасната, сигурна и ефективна работа на водородната система или за осигуряването на възможност за реверсивно подаване на газ, включително компресорни станции.</w:t>
            </w:r>
          </w:p>
          <w:p w14:paraId="764BC041"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Всеки от активите в подточки i)—vi) може да е създаден чрез ново строителство или чрез преоборудване на съоръжения за природен газ в съоръжения за водород, или чрез комбинация от двата способа. Изброените в подточки i)—vi) активи, до които достъп имат трети страни, отговарят на условията, за да бъдат определени като енергийна инфраструктура.</w:t>
            </w:r>
          </w:p>
          <w:p w14:paraId="531B68D6"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 xml:space="preserve">г) въглероден диоксид: </w:t>
            </w:r>
          </w:p>
          <w:p w14:paraId="5D91B0E2"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lastRenderedPageBreak/>
              <w:t>i) тръбопроводи, различни от тези на добивните газопреносни мрежи, използвани за транспортиране на въглероден диоксид, получен от повече от един източник, т.е. промишлени инсталации (включително електроцентрали), които произвеждат въглероден диоксид чрез изгаряне или други химични реакции, включващи изкопаеми и неизкопаеми въглеродосъдържащи съединения, с цел постоянно съхранение на въглероден диоксид в геоложки формации в съответствие с член 3 от Директива 2009/31/ЕО на Европейския парламент и на Съвета или с цел използване на въглеродния диоксид като изходна суровина или за повишаване на добивите от биологични процеси;</w:t>
            </w:r>
          </w:p>
          <w:p w14:paraId="393BB175"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 xml:space="preserve">ii) съоръжения за втечняване и междинно съхраняване на въглероден диоксид с оглед на неговото транспортиране или съхраняване. Това не включва инфраструктура в рамките на геоложка формация, използвана за постоянно съхраняване на въглероден диоксид в геоложки формации съгласно член 3 от Директива 2009/31/ЕО и съответните наземни съоръжения и съоръжения за инжектиране; </w:t>
            </w:r>
          </w:p>
          <w:p w14:paraId="4213A9CC"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iii) всякакво оборудване или инсталации, които са от основно значение за правилната, сигурна и ефективна работа на въпросната система, включително системи за защита, следене и управление. В това може да се включат специализирани мобилни средства за транспортиране и съхранение на въглероден диоксид, при условие че тези мобилни средства отговарят на определението за чисто превозно средство.</w:t>
            </w:r>
          </w:p>
          <w:p w14:paraId="0765DE37"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Изброените в подточки i), ii) и iii) активи, до които достъп имат трети страни, отговарят на условията, за да бъдат определени като енергийна инфраструктура.</w:t>
            </w:r>
          </w:p>
          <w:p w14:paraId="6A0A950E"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 xml:space="preserve">д) инфраструктура, използвана за пренос или разпределение на топлинна енергия във вид на пара, гореща вода или охладени течности от множество производители или потребители, която се основава на използването на възобновяема енергия или отпадна топлина от промишлени приложения; </w:t>
            </w:r>
          </w:p>
          <w:p w14:paraId="33053951"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 xml:space="preserve">е) проекти от общ интерес съгласно определението в член 2, точка (4) от Регламент (ЕС) № 347/2013 на Европейския парламент и на Съвета и проекти от общ интерес, посочени в член 171 от Договора; </w:t>
            </w:r>
          </w:p>
          <w:p w14:paraId="6A749C3C" w14:textId="77777777" w:rsidR="001A74FE" w:rsidRPr="00F5314F" w:rsidRDefault="001A74FE" w:rsidP="001A74FE">
            <w:pPr>
              <w:spacing w:after="60" w:line="240" w:lineRule="auto"/>
              <w:jc w:val="both"/>
              <w:rPr>
                <w:rFonts w:ascii="Times New Roman" w:hAnsi="Times New Roman"/>
                <w:sz w:val="24"/>
                <w:szCs w:val="24"/>
              </w:rPr>
            </w:pPr>
            <w:r w:rsidRPr="00F5314F">
              <w:rPr>
                <w:rFonts w:ascii="Times New Roman" w:hAnsi="Times New Roman"/>
                <w:sz w:val="24"/>
                <w:szCs w:val="24"/>
              </w:rPr>
              <w:t xml:space="preserve">ж) други категории инфраструктура, даваща възможност за физическа или безжична връзка между производители и потребители на възобновяема или нисковъглеродна енергия посредством множество точки за достъп и изход, достъпът до които е отворен за трети страни, които не са част от предприятията - собственици или управители на инфраструктурата. </w:t>
            </w:r>
          </w:p>
          <w:p w14:paraId="169A9266"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hAnsi="Times New Roman"/>
                <w:sz w:val="24"/>
                <w:szCs w:val="24"/>
              </w:rPr>
              <w:t>Активите, изброени в букви а)-ж), които са изградени за един предварително определен потребител или малка група от предварително определени потребители, и пригодени към техните нужди („специална инфраструктура“), не отговарят на условията, за да бъдат определени като енергийна инфраструктура.</w:t>
            </w:r>
          </w:p>
        </w:tc>
      </w:tr>
      <w:tr w:rsidR="001A74FE" w:rsidRPr="00F5314F" w14:paraId="67161776" w14:textId="77777777" w:rsidTr="006B7F3D">
        <w:tc>
          <w:tcPr>
            <w:tcW w:w="2405" w:type="dxa"/>
            <w:shd w:val="clear" w:color="auto" w:fill="E6E6E6"/>
          </w:tcPr>
          <w:p w14:paraId="6A21BB50"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Започване на работите по проекта</w:t>
            </w:r>
          </w:p>
        </w:tc>
        <w:tc>
          <w:tcPr>
            <w:tcW w:w="7371" w:type="dxa"/>
            <w:shd w:val="clear" w:color="auto" w:fill="F3F3F3"/>
          </w:tcPr>
          <w:p w14:paraId="2B1BDDBB" w14:textId="7E3403B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чл. 2, пар. 23 от Регламент (ЕС) № 651/2014 на Комисията, „з</w:t>
            </w:r>
            <w:r w:rsidR="005D5E9C">
              <w:rPr>
                <w:rFonts w:ascii="Times New Roman" w:eastAsia="Times New Roman" w:hAnsi="Times New Roman"/>
                <w:snapToGrid w:val="0"/>
                <w:sz w:val="24"/>
                <w:szCs w:val="24"/>
              </w:rPr>
              <w:t>апочване на работите по проекта</w:t>
            </w:r>
            <w:r w:rsidR="005D5E9C" w:rsidRPr="005D5E9C">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означава първото от следните събития: започване на строителните работи, свързани с инвестицията, или поемане на първия правнообвързващ ангажимент за поръчка на оборудване или всеки друг ангажимент, който прави инвестицията необратима. Купуването на земя и подготвителните дейности като получаването на разрешителни и провеждането на проучвания на осъществимостта не се считат за започване на работите по проекта. При поглъщания на предприятия „з</w:t>
            </w:r>
            <w:r w:rsidR="005D5E9C">
              <w:rPr>
                <w:rFonts w:ascii="Times New Roman" w:eastAsia="Times New Roman" w:hAnsi="Times New Roman"/>
                <w:snapToGrid w:val="0"/>
                <w:sz w:val="24"/>
                <w:szCs w:val="24"/>
              </w:rPr>
              <w:t>апочване на работите по проекта</w:t>
            </w:r>
            <w:r w:rsidR="005D5E9C" w:rsidRPr="005D5E9C">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означава момента на придобиване на активите, пряко свързани с придобития стопански обект.</w:t>
            </w:r>
          </w:p>
        </w:tc>
      </w:tr>
      <w:tr w:rsidR="00E72ABC" w:rsidRPr="00F5314F" w14:paraId="70F78251" w14:textId="77777777" w:rsidTr="006B7F3D">
        <w:tc>
          <w:tcPr>
            <w:tcW w:w="2405" w:type="dxa"/>
            <w:shd w:val="clear" w:color="auto" w:fill="E6E6E6"/>
          </w:tcPr>
          <w:p w14:paraId="3C0A7C09" w14:textId="0B578B5D" w:rsidR="00E72ABC" w:rsidRPr="00D430E1" w:rsidRDefault="00E72ABC" w:rsidP="00E72ABC">
            <w:pPr>
              <w:spacing w:after="120" w:line="240" w:lineRule="auto"/>
              <w:rPr>
                <w:rFonts w:ascii="Times New Roman" w:eastAsia="Times New Roman" w:hAnsi="Times New Roman"/>
                <w:b/>
                <w:snapToGrid w:val="0"/>
                <w:color w:val="000000" w:themeColor="text1"/>
                <w:sz w:val="24"/>
                <w:szCs w:val="24"/>
              </w:rPr>
            </w:pPr>
            <w:r w:rsidRPr="00D430E1">
              <w:rPr>
                <w:rFonts w:ascii="Times New Roman" w:eastAsia="Times New Roman" w:hAnsi="Times New Roman"/>
                <w:b/>
                <w:snapToGrid w:val="0"/>
                <w:color w:val="000000" w:themeColor="text1"/>
                <w:sz w:val="24"/>
                <w:szCs w:val="24"/>
              </w:rPr>
              <w:t>Зелени технологии</w:t>
            </w:r>
          </w:p>
        </w:tc>
        <w:tc>
          <w:tcPr>
            <w:tcW w:w="7371" w:type="dxa"/>
            <w:shd w:val="clear" w:color="auto" w:fill="F3F3F3"/>
          </w:tcPr>
          <w:p w14:paraId="794541BA" w14:textId="65454BC2" w:rsidR="00E72ABC" w:rsidRPr="00D430E1" w:rsidRDefault="00E72ABC" w:rsidP="003D0B4C">
            <w:pPr>
              <w:spacing w:after="120" w:line="240" w:lineRule="auto"/>
              <w:jc w:val="both"/>
              <w:rPr>
                <w:rFonts w:ascii="Times New Roman" w:eastAsia="Times New Roman" w:hAnsi="Times New Roman"/>
                <w:snapToGrid w:val="0"/>
                <w:color w:val="000000" w:themeColor="text1"/>
                <w:sz w:val="24"/>
                <w:szCs w:val="24"/>
              </w:rPr>
            </w:pPr>
            <w:r w:rsidRPr="00D430E1">
              <w:rPr>
                <w:rFonts w:ascii="Times New Roman" w:eastAsia="Times New Roman" w:hAnsi="Times New Roman"/>
                <w:snapToGrid w:val="0"/>
                <w:color w:val="000000" w:themeColor="text1"/>
                <w:sz w:val="24"/>
                <w:szCs w:val="24"/>
              </w:rPr>
              <w:t xml:space="preserve">За целите </w:t>
            </w:r>
            <w:r w:rsidR="00D430E1" w:rsidRPr="00D430E1">
              <w:rPr>
                <w:rFonts w:ascii="Times New Roman" w:eastAsia="Times New Roman" w:hAnsi="Times New Roman"/>
                <w:snapToGrid w:val="0"/>
                <w:color w:val="000000" w:themeColor="text1"/>
                <w:sz w:val="24"/>
                <w:szCs w:val="24"/>
              </w:rPr>
              <w:t>на настоящата процедура „зелени</w:t>
            </w:r>
            <w:r w:rsidR="003D0B4C">
              <w:rPr>
                <w:rFonts w:ascii="Times New Roman" w:eastAsia="Times New Roman" w:hAnsi="Times New Roman"/>
                <w:snapToGrid w:val="0"/>
                <w:color w:val="000000" w:themeColor="text1"/>
                <w:sz w:val="24"/>
                <w:szCs w:val="24"/>
              </w:rPr>
              <w:t xml:space="preserve"> технологии</w:t>
            </w:r>
            <w:r w:rsidR="00D430E1" w:rsidRPr="00D430E1">
              <w:rPr>
                <w:rFonts w:ascii="Times New Roman" w:eastAsia="Times New Roman" w:hAnsi="Times New Roman"/>
                <w:snapToGrid w:val="0"/>
                <w:color w:val="000000" w:themeColor="text1"/>
                <w:sz w:val="24"/>
                <w:szCs w:val="24"/>
              </w:rPr>
              <w:t>”</w:t>
            </w:r>
            <w:r w:rsidR="003D0B4C">
              <w:rPr>
                <w:rFonts w:ascii="Times New Roman" w:eastAsia="Times New Roman" w:hAnsi="Times New Roman"/>
                <w:snapToGrid w:val="0"/>
                <w:color w:val="000000" w:themeColor="text1"/>
                <w:sz w:val="24"/>
                <w:szCs w:val="24"/>
              </w:rPr>
              <w:t xml:space="preserve"> са</w:t>
            </w:r>
            <w:r w:rsidR="00D430E1" w:rsidRPr="00D430E1">
              <w:rPr>
                <w:rFonts w:ascii="Times New Roman" w:eastAsia="Times New Roman" w:hAnsi="Times New Roman"/>
                <w:snapToGrid w:val="0"/>
                <w:color w:val="000000" w:themeColor="text1"/>
                <w:sz w:val="24"/>
                <w:szCs w:val="24"/>
              </w:rPr>
              <w:t xml:space="preserve"> технологии</w:t>
            </w:r>
            <w:r w:rsidR="003D0B4C">
              <w:rPr>
                <w:rFonts w:ascii="Times New Roman" w:eastAsia="Times New Roman" w:hAnsi="Times New Roman"/>
                <w:snapToGrid w:val="0"/>
                <w:color w:val="000000" w:themeColor="text1"/>
                <w:sz w:val="24"/>
                <w:szCs w:val="24"/>
              </w:rPr>
              <w:t>те</w:t>
            </w:r>
            <w:r w:rsidRPr="00D430E1">
              <w:rPr>
                <w:rFonts w:ascii="Times New Roman" w:eastAsia="Times New Roman" w:hAnsi="Times New Roman"/>
                <w:snapToGrid w:val="0"/>
                <w:color w:val="000000" w:themeColor="text1"/>
                <w:sz w:val="24"/>
                <w:szCs w:val="24"/>
              </w:rPr>
              <w:t xml:space="preserve">, </w:t>
            </w:r>
            <w:r w:rsidR="003D0B4C">
              <w:rPr>
                <w:rFonts w:ascii="Times New Roman" w:eastAsia="Times New Roman" w:hAnsi="Times New Roman"/>
                <w:snapToGrid w:val="0"/>
                <w:color w:val="000000" w:themeColor="text1"/>
                <w:sz w:val="24"/>
                <w:szCs w:val="24"/>
              </w:rPr>
              <w:t xml:space="preserve">които предприятието-кандидат въвежда посредством активите, предвидени за придобиване по проекта, и </w:t>
            </w:r>
            <w:r w:rsidRPr="00D430E1">
              <w:rPr>
                <w:rFonts w:ascii="Times New Roman" w:eastAsia="Times New Roman" w:hAnsi="Times New Roman"/>
                <w:snapToGrid w:val="0"/>
                <w:color w:val="000000" w:themeColor="text1"/>
                <w:sz w:val="24"/>
                <w:szCs w:val="24"/>
              </w:rPr>
              <w:t>които водят до</w:t>
            </w:r>
            <w:r w:rsidR="002531C3" w:rsidRPr="00D430E1">
              <w:rPr>
                <w:rFonts w:ascii="Times New Roman" w:eastAsia="Times New Roman" w:hAnsi="Times New Roman"/>
                <w:snapToGrid w:val="0"/>
                <w:color w:val="000000" w:themeColor="text1"/>
                <w:sz w:val="24"/>
                <w:szCs w:val="24"/>
              </w:rPr>
              <w:t xml:space="preserve"> прилагане</w:t>
            </w:r>
            <w:r w:rsidR="003D0B4C">
              <w:rPr>
                <w:rFonts w:ascii="Times New Roman" w:eastAsia="Times New Roman" w:hAnsi="Times New Roman"/>
                <w:snapToGrid w:val="0"/>
                <w:color w:val="000000" w:themeColor="text1"/>
                <w:sz w:val="24"/>
                <w:szCs w:val="24"/>
              </w:rPr>
              <w:t>то</w:t>
            </w:r>
            <w:r w:rsidR="002531C3" w:rsidRPr="00D430E1">
              <w:rPr>
                <w:rFonts w:ascii="Times New Roman" w:eastAsia="Times New Roman" w:hAnsi="Times New Roman"/>
                <w:snapToGrid w:val="0"/>
                <w:color w:val="000000" w:themeColor="text1"/>
                <w:sz w:val="24"/>
                <w:szCs w:val="24"/>
              </w:rPr>
              <w:t xml:space="preserve"> на един </w:t>
            </w:r>
            <w:r w:rsidR="00D430E1" w:rsidRPr="00D430E1">
              <w:rPr>
                <w:rFonts w:ascii="Times New Roman" w:eastAsia="Times New Roman" w:hAnsi="Times New Roman"/>
                <w:snapToGrid w:val="0"/>
                <w:color w:val="000000" w:themeColor="text1"/>
                <w:sz w:val="24"/>
                <w:szCs w:val="24"/>
              </w:rPr>
              <w:t xml:space="preserve">или повече </w:t>
            </w:r>
            <w:r w:rsidR="002531C3" w:rsidRPr="00D430E1">
              <w:rPr>
                <w:rFonts w:ascii="Times New Roman" w:eastAsia="Times New Roman" w:hAnsi="Times New Roman"/>
                <w:snapToGrid w:val="0"/>
                <w:color w:val="000000" w:themeColor="text1"/>
                <w:sz w:val="24"/>
                <w:szCs w:val="24"/>
              </w:rPr>
              <w:t xml:space="preserve">от </w:t>
            </w:r>
            <w:r w:rsidR="003D0B4C">
              <w:rPr>
                <w:rFonts w:ascii="Times New Roman" w:eastAsia="Times New Roman" w:hAnsi="Times New Roman"/>
                <w:snapToGrid w:val="0"/>
                <w:color w:val="000000" w:themeColor="text1"/>
                <w:sz w:val="24"/>
                <w:szCs w:val="24"/>
              </w:rPr>
              <w:t>допустимите кръгови</w:t>
            </w:r>
            <w:r w:rsidR="00D430E1" w:rsidRPr="00D430E1">
              <w:rPr>
                <w:rFonts w:ascii="Times New Roman" w:eastAsia="Times New Roman" w:hAnsi="Times New Roman"/>
                <w:snapToGrid w:val="0"/>
                <w:color w:val="000000" w:themeColor="text1"/>
                <w:sz w:val="24"/>
                <w:szCs w:val="24"/>
              </w:rPr>
              <w:t xml:space="preserve"> модели</w:t>
            </w:r>
            <w:r w:rsidR="00576068">
              <w:rPr>
                <w:rFonts w:ascii="Times New Roman" w:eastAsia="Times New Roman" w:hAnsi="Times New Roman"/>
                <w:snapToGrid w:val="0"/>
                <w:color w:val="000000" w:themeColor="text1"/>
                <w:sz w:val="24"/>
                <w:szCs w:val="24"/>
              </w:rPr>
              <w:t xml:space="preserve"> в направленията</w:t>
            </w:r>
            <w:r w:rsidR="00D430E1" w:rsidRPr="00D430E1">
              <w:rPr>
                <w:rFonts w:ascii="Times New Roman" w:eastAsia="Times New Roman" w:hAnsi="Times New Roman"/>
                <w:snapToGrid w:val="0"/>
                <w:color w:val="000000" w:themeColor="text1"/>
                <w:sz w:val="24"/>
                <w:szCs w:val="24"/>
              </w:rPr>
              <w:t>, посочени в</w:t>
            </w:r>
            <w:r w:rsidR="003D0B4C">
              <w:rPr>
                <w:rFonts w:ascii="Times New Roman" w:eastAsia="Times New Roman" w:hAnsi="Times New Roman"/>
                <w:snapToGrid w:val="0"/>
                <w:color w:val="000000" w:themeColor="text1"/>
                <w:sz w:val="24"/>
                <w:szCs w:val="24"/>
              </w:rPr>
              <w:t xml:space="preserve"> т. 13.1 „Допустими дейности</w:t>
            </w:r>
            <w:r w:rsidR="003D0B4C" w:rsidRPr="001A6B48">
              <w:rPr>
                <w:rFonts w:ascii="Times New Roman" w:eastAsia="Times New Roman" w:hAnsi="Times New Roman"/>
                <w:snapToGrid w:val="0"/>
                <w:color w:val="000000" w:themeColor="text1"/>
                <w:sz w:val="24"/>
                <w:szCs w:val="24"/>
              </w:rPr>
              <w:t>”</w:t>
            </w:r>
            <w:r w:rsidR="003D0B4C">
              <w:rPr>
                <w:rFonts w:ascii="Times New Roman" w:eastAsia="Times New Roman" w:hAnsi="Times New Roman"/>
                <w:snapToGrid w:val="0"/>
                <w:color w:val="000000" w:themeColor="text1"/>
                <w:sz w:val="24"/>
                <w:szCs w:val="24"/>
              </w:rPr>
              <w:t xml:space="preserve"> -</w:t>
            </w:r>
            <w:r w:rsidR="002531C3" w:rsidRPr="00D430E1">
              <w:rPr>
                <w:rFonts w:ascii="Times New Roman" w:eastAsia="Times New Roman" w:hAnsi="Times New Roman"/>
                <w:snapToGrid w:val="0"/>
                <w:color w:val="000000" w:themeColor="text1"/>
                <w:sz w:val="24"/>
                <w:szCs w:val="24"/>
              </w:rPr>
              <w:t xml:space="preserve"> подт. 1) до подт. 4)</w:t>
            </w:r>
            <w:r w:rsidR="003D0B4C">
              <w:rPr>
                <w:rFonts w:ascii="Times New Roman" w:eastAsia="Times New Roman" w:hAnsi="Times New Roman"/>
                <w:snapToGrid w:val="0"/>
                <w:color w:val="000000" w:themeColor="text1"/>
                <w:sz w:val="24"/>
                <w:szCs w:val="24"/>
              </w:rPr>
              <w:t>,</w:t>
            </w:r>
            <w:r w:rsidR="002531C3" w:rsidRPr="00D430E1">
              <w:rPr>
                <w:rFonts w:ascii="Times New Roman" w:eastAsia="Times New Roman" w:hAnsi="Times New Roman"/>
                <w:snapToGrid w:val="0"/>
                <w:color w:val="000000" w:themeColor="text1"/>
                <w:sz w:val="24"/>
                <w:szCs w:val="24"/>
              </w:rPr>
              <w:t xml:space="preserve"> от Условията за кандидатстване</w:t>
            </w:r>
            <w:r w:rsidR="00D430E1">
              <w:rPr>
                <w:rFonts w:ascii="Times New Roman" w:eastAsia="Times New Roman" w:hAnsi="Times New Roman"/>
                <w:snapToGrid w:val="0"/>
                <w:color w:val="000000" w:themeColor="text1"/>
                <w:sz w:val="24"/>
                <w:szCs w:val="24"/>
              </w:rPr>
              <w:t>.</w:t>
            </w:r>
          </w:p>
        </w:tc>
      </w:tr>
      <w:tr w:rsidR="001A74FE" w:rsidRPr="00F5314F" w14:paraId="12CC58A2" w14:textId="77777777" w:rsidTr="006B7F3D">
        <w:tc>
          <w:tcPr>
            <w:tcW w:w="2405" w:type="dxa"/>
            <w:shd w:val="clear" w:color="auto" w:fill="E6E6E6"/>
          </w:tcPr>
          <w:p w14:paraId="558F037A"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Изпълнител, определен от страна на бенефициента </w:t>
            </w:r>
          </w:p>
        </w:tc>
        <w:tc>
          <w:tcPr>
            <w:tcW w:w="7371" w:type="dxa"/>
            <w:shd w:val="clear" w:color="auto" w:fill="F3F3F3"/>
          </w:tcPr>
          <w:p w14:paraId="6A853197" w14:textId="5AEEC5EE"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Изпълнители на дейности по проекта, възложени им от бенефициентите на безвъзмездна финансова помощ. Изпълнителите от страна на бенефициента не са партньори и се определят в съответствие с реда за определяне на изпълнител от страна на бенефициенти на договорена безвъзмездна финансова помощ от ЕФСУ, както и по реда на Закона за обществените поръчки и подзаконовите актове по прилагането му, включително и на указанията на УО, заложени в Ръководството за изпълнение на договори за безвъзмездна финансова помощ по ПКИП.</w:t>
            </w:r>
          </w:p>
        </w:tc>
      </w:tr>
      <w:tr w:rsidR="001A74FE" w:rsidRPr="00F5314F" w14:paraId="25B56ED8" w14:textId="77777777" w:rsidTr="006B7F3D">
        <w:tc>
          <w:tcPr>
            <w:tcW w:w="2405" w:type="dxa"/>
            <w:shd w:val="clear" w:color="auto" w:fill="E6E6E6"/>
          </w:tcPr>
          <w:p w14:paraId="52D9AAE8" w14:textId="21FC4BAF"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Кандидати</w:t>
            </w:r>
            <w:r>
              <w:t xml:space="preserve"> </w:t>
            </w:r>
            <w:r w:rsidRPr="0041164D">
              <w:rPr>
                <w:rFonts w:ascii="Times New Roman" w:eastAsia="Times New Roman" w:hAnsi="Times New Roman"/>
                <w:b/>
                <w:snapToGrid w:val="0"/>
                <w:sz w:val="24"/>
                <w:szCs w:val="24"/>
              </w:rPr>
              <w:t>за безвъзмездна финансова помощ</w:t>
            </w:r>
          </w:p>
        </w:tc>
        <w:tc>
          <w:tcPr>
            <w:tcW w:w="7371" w:type="dxa"/>
            <w:shd w:val="clear" w:color="auto" w:fill="F3F3F3"/>
          </w:tcPr>
          <w:p w14:paraId="037E775A"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Всички физически и юридически лица и техни обединения, които кандидатстват за безвъзмездна финансова помощ чрез подаване на проектно предложение.</w:t>
            </w:r>
          </w:p>
        </w:tc>
      </w:tr>
      <w:tr w:rsidR="001A74FE" w:rsidRPr="00F5314F" w14:paraId="3803E1D5" w14:textId="77777777" w:rsidTr="006B7F3D">
        <w:tc>
          <w:tcPr>
            <w:tcW w:w="2405" w:type="dxa"/>
            <w:shd w:val="clear" w:color="auto" w:fill="E6E6E6"/>
          </w:tcPr>
          <w:p w14:paraId="66BE0BFD" w14:textId="0D3F7D16"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Конвенция на ООН за правата на хората с увреждания</w:t>
            </w:r>
          </w:p>
        </w:tc>
        <w:tc>
          <w:tcPr>
            <w:tcW w:w="7371" w:type="dxa"/>
            <w:shd w:val="clear" w:color="auto" w:fill="F3F3F3"/>
          </w:tcPr>
          <w:p w14:paraId="7C93338C" w14:textId="62DEE290"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Прилагането и изпълнението на Конвенцията на ООН за правата на хората с увреждания</w:t>
            </w:r>
            <w:r w:rsidRPr="00F5314F">
              <w:rPr>
                <w:rStyle w:val="FootnoteReference"/>
                <w:rFonts w:ascii="Times New Roman" w:eastAsia="Times New Roman" w:hAnsi="Times New Roman"/>
                <w:snapToGrid w:val="0"/>
                <w:sz w:val="24"/>
                <w:szCs w:val="24"/>
              </w:rPr>
              <w:footnoteReference w:id="2"/>
            </w:r>
            <w:r w:rsidRPr="00F5314F">
              <w:rPr>
                <w:rFonts w:ascii="Times New Roman" w:eastAsia="Times New Roman" w:hAnsi="Times New Roman"/>
                <w:snapToGrid w:val="0"/>
                <w:sz w:val="24"/>
                <w:szCs w:val="24"/>
              </w:rPr>
              <w:t xml:space="preserve"> цели осигуряване на зачитането и защитата на всички основни права на хората с увреждания, сред които са:</w:t>
            </w:r>
          </w:p>
          <w:p w14:paraId="431B9D96" w14:textId="536C55ED"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право на равенство и забрана на дискриминация;</w:t>
            </w:r>
          </w:p>
          <w:p w14:paraId="1579522B"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право на жените с увреждания за подпомагане при пълноценното им упражняване на всички права на човека и основни свободи;</w:t>
            </w:r>
          </w:p>
          <w:p w14:paraId="6A520AD1"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право на децата с увреждания свободно да изразяват становища по всякакви въпроси, които ги засягат, като на техните становища се придава подобаваща тежест в съответствие с възрастта и степента им на зрялост;</w:t>
            </w:r>
          </w:p>
          <w:p w14:paraId="6875F3E7"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повишаване на общественото съзнание, достъпност, право на живот, равнопоставеност пред закона, достъп до правосъдие, защита срещу изтезания или жестоко, нечовешко или унизително отнасяне или наказание, защита срещу експлоатация, насилие и тормоз, защита на целостта и ненакърнимостта на личността;</w:t>
            </w:r>
          </w:p>
          <w:p w14:paraId="101AC80D"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lastRenderedPageBreak/>
              <w:t>- независим живот и включване в общността, лична мобилност, свобода на изразяване и на мнение, свобода на достъпа до информация, зачитане на личната неприкосновеност, уважение към дома и семейството, образование, здравеопазване, абилитация и рехабилитация;</w:t>
            </w:r>
          </w:p>
          <w:p w14:paraId="23DEDE53" w14:textId="73F57E15"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работа и заетост, подходящ жизнен стандарт и социална закрила, участие в политическия и обществения живот, участие в културния живот, почивка, свободно време и спорт, статистика и събиране на данни, международно сътрудничество.</w:t>
            </w:r>
          </w:p>
        </w:tc>
      </w:tr>
      <w:tr w:rsidR="008938D7" w:rsidRPr="00F5314F" w14:paraId="5C2E82F9" w14:textId="77777777" w:rsidTr="006B7F3D">
        <w:tc>
          <w:tcPr>
            <w:tcW w:w="2405" w:type="dxa"/>
            <w:shd w:val="clear" w:color="auto" w:fill="E7E6E6" w:themeFill="background2"/>
          </w:tcPr>
          <w:p w14:paraId="087C418C" w14:textId="39AC9D93" w:rsidR="008938D7" w:rsidRPr="000476DB" w:rsidRDefault="008938D7" w:rsidP="008938D7">
            <w:pPr>
              <w:spacing w:after="120" w:line="240" w:lineRule="auto"/>
              <w:rPr>
                <w:rFonts w:ascii="Times New Roman" w:eastAsia="Times New Roman" w:hAnsi="Times New Roman"/>
                <w:b/>
                <w:snapToGrid w:val="0"/>
                <w:color w:val="000000" w:themeColor="text1"/>
                <w:sz w:val="24"/>
                <w:szCs w:val="24"/>
              </w:rPr>
            </w:pPr>
            <w:r w:rsidRPr="000476DB">
              <w:rPr>
                <w:rFonts w:ascii="Times New Roman" w:eastAsia="Times New Roman" w:hAnsi="Times New Roman"/>
                <w:b/>
                <w:snapToGrid w:val="0"/>
                <w:color w:val="000000" w:themeColor="text1"/>
                <w:sz w:val="24"/>
                <w:szCs w:val="24"/>
              </w:rPr>
              <w:lastRenderedPageBreak/>
              <w:t>Кръгова икономика</w:t>
            </w:r>
          </w:p>
        </w:tc>
        <w:tc>
          <w:tcPr>
            <w:tcW w:w="7371" w:type="dxa"/>
            <w:shd w:val="clear" w:color="auto" w:fill="F2F2F2" w:themeFill="background1" w:themeFillShade="F2"/>
          </w:tcPr>
          <w:p w14:paraId="21EB5527" w14:textId="75C2241C" w:rsidR="00B0495A" w:rsidRPr="000476DB" w:rsidRDefault="008938D7" w:rsidP="008938D7">
            <w:pPr>
              <w:spacing w:after="120" w:line="240" w:lineRule="auto"/>
              <w:jc w:val="both"/>
              <w:rPr>
                <w:rFonts w:ascii="Times New Roman" w:eastAsia="Times New Roman" w:hAnsi="Times New Roman"/>
                <w:snapToGrid w:val="0"/>
                <w:color w:val="000000" w:themeColor="text1"/>
                <w:sz w:val="24"/>
                <w:szCs w:val="24"/>
              </w:rPr>
            </w:pPr>
            <w:r w:rsidRPr="000476DB">
              <w:rPr>
                <w:rFonts w:ascii="Times New Roman" w:eastAsia="Times New Roman" w:hAnsi="Times New Roman"/>
                <w:snapToGrid w:val="0"/>
                <w:color w:val="000000" w:themeColor="text1"/>
                <w:sz w:val="24"/>
                <w:szCs w:val="24"/>
              </w:rPr>
              <w:t>По смисъла на чл. 2, пар. 9 от Регламент (ЕС) № 2020/852 „кръгова икономика</w:t>
            </w:r>
            <w:r w:rsidRPr="000476DB">
              <w:rPr>
                <w:rFonts w:ascii="Times New Roman" w:hAnsi="Times New Roman"/>
                <w:color w:val="000000" w:themeColor="text1"/>
                <w:sz w:val="24"/>
              </w:rPr>
              <w:t>”</w:t>
            </w:r>
            <w:r w:rsidRPr="000476DB">
              <w:rPr>
                <w:rFonts w:ascii="Times New Roman" w:eastAsia="Times New Roman" w:hAnsi="Times New Roman"/>
                <w:snapToGrid w:val="0"/>
                <w:color w:val="000000" w:themeColor="text1"/>
                <w:sz w:val="24"/>
                <w:szCs w:val="24"/>
              </w:rPr>
              <w:t xml:space="preserve"> означава икономическа система, при която запазването на стойността на продуктите, материалите</w:t>
            </w:r>
            <w:r w:rsidRPr="000476DB">
              <w:rPr>
                <w:rFonts w:ascii="Times New Roman" w:hAnsi="Times New Roman"/>
                <w:color w:val="000000" w:themeColor="text1"/>
                <w:sz w:val="24"/>
              </w:rPr>
              <w:t xml:space="preserve"> </w:t>
            </w:r>
            <w:r w:rsidRPr="000476DB">
              <w:rPr>
                <w:rFonts w:ascii="Times New Roman" w:eastAsia="Times New Roman" w:hAnsi="Times New Roman"/>
                <w:snapToGrid w:val="0"/>
                <w:color w:val="000000" w:themeColor="text1"/>
                <w:sz w:val="24"/>
                <w:szCs w:val="24"/>
              </w:rPr>
              <w:t>и другите ресурси в икономиката се поддържа за възможно най-дълъг период от време, като се подобрява ефективното</w:t>
            </w:r>
            <w:r w:rsidRPr="000476DB">
              <w:rPr>
                <w:rFonts w:ascii="Times New Roman" w:hAnsi="Times New Roman"/>
                <w:color w:val="000000" w:themeColor="text1"/>
                <w:sz w:val="24"/>
              </w:rPr>
              <w:t xml:space="preserve"> </w:t>
            </w:r>
            <w:r w:rsidRPr="000476DB">
              <w:rPr>
                <w:rFonts w:ascii="Times New Roman" w:eastAsia="Times New Roman" w:hAnsi="Times New Roman"/>
                <w:snapToGrid w:val="0"/>
                <w:color w:val="000000" w:themeColor="text1"/>
                <w:sz w:val="24"/>
                <w:szCs w:val="24"/>
              </w:rPr>
              <w:t>им използване в производството и потреблението, и по този начин се намалява въздействието от тяхното използване</w:t>
            </w:r>
            <w:r w:rsidRPr="000476DB">
              <w:rPr>
                <w:rFonts w:ascii="Times New Roman" w:hAnsi="Times New Roman"/>
                <w:color w:val="000000" w:themeColor="text1"/>
                <w:sz w:val="24"/>
              </w:rPr>
              <w:t xml:space="preserve"> </w:t>
            </w:r>
            <w:r w:rsidRPr="000476DB">
              <w:rPr>
                <w:rFonts w:ascii="Times New Roman" w:eastAsia="Times New Roman" w:hAnsi="Times New Roman"/>
                <w:snapToGrid w:val="0"/>
                <w:color w:val="000000" w:themeColor="text1"/>
                <w:sz w:val="24"/>
                <w:szCs w:val="24"/>
              </w:rPr>
              <w:t>върху околната среда и се свеждат до минимум отпадъците и изпускането на опасни вещества на всички етапи от техния жизнен цикъл, включително чрез прилагането на йерархията на отпадъците.</w:t>
            </w:r>
          </w:p>
        </w:tc>
      </w:tr>
      <w:tr w:rsidR="008938D7" w:rsidRPr="00F5314F" w14:paraId="4644476B" w14:textId="77777777" w:rsidTr="006B7F3D">
        <w:tc>
          <w:tcPr>
            <w:tcW w:w="2405" w:type="dxa"/>
            <w:shd w:val="clear" w:color="auto" w:fill="E7E6E6" w:themeFill="background2"/>
          </w:tcPr>
          <w:p w14:paraId="199D7C02" w14:textId="7EFCE52D" w:rsidR="008938D7" w:rsidRPr="000476DB" w:rsidRDefault="008938D7" w:rsidP="008938D7">
            <w:pPr>
              <w:spacing w:after="120" w:line="240" w:lineRule="auto"/>
              <w:rPr>
                <w:rFonts w:ascii="Times New Roman" w:eastAsia="Times New Roman" w:hAnsi="Times New Roman"/>
                <w:b/>
                <w:snapToGrid w:val="0"/>
                <w:color w:val="000000" w:themeColor="text1"/>
                <w:sz w:val="24"/>
                <w:szCs w:val="24"/>
              </w:rPr>
            </w:pPr>
            <w:r w:rsidRPr="000476DB">
              <w:rPr>
                <w:rFonts w:ascii="Times New Roman" w:eastAsia="Times New Roman" w:hAnsi="Times New Roman"/>
                <w:b/>
                <w:snapToGrid w:val="0"/>
                <w:color w:val="000000" w:themeColor="text1"/>
                <w:sz w:val="24"/>
                <w:szCs w:val="24"/>
              </w:rPr>
              <w:t>Кръгов модел</w:t>
            </w:r>
          </w:p>
        </w:tc>
        <w:tc>
          <w:tcPr>
            <w:tcW w:w="7371" w:type="dxa"/>
            <w:shd w:val="clear" w:color="auto" w:fill="F2F2F2" w:themeFill="background1" w:themeFillShade="F2"/>
          </w:tcPr>
          <w:p w14:paraId="49AB28AD" w14:textId="0A434B76" w:rsidR="008938D7" w:rsidRPr="000476DB" w:rsidRDefault="008938D7" w:rsidP="008938D7">
            <w:pPr>
              <w:spacing w:after="120" w:line="240" w:lineRule="auto"/>
              <w:jc w:val="both"/>
              <w:rPr>
                <w:rFonts w:ascii="Times New Roman" w:eastAsia="Times New Roman" w:hAnsi="Times New Roman"/>
                <w:snapToGrid w:val="0"/>
                <w:color w:val="000000" w:themeColor="text1"/>
                <w:sz w:val="24"/>
                <w:szCs w:val="24"/>
              </w:rPr>
            </w:pPr>
            <w:r w:rsidRPr="000476DB">
              <w:rPr>
                <w:rFonts w:ascii="Times New Roman" w:eastAsia="Times New Roman" w:hAnsi="Times New Roman"/>
                <w:snapToGrid w:val="0"/>
                <w:color w:val="000000" w:themeColor="text1"/>
                <w:sz w:val="24"/>
                <w:szCs w:val="24"/>
              </w:rPr>
              <w:t>Кръговият модел е начин/подход за създаване и задържане на стойност в икономиката чрез подобряване на ефективността на ресурсите и удължаване на полезния живот на продуктите</w:t>
            </w:r>
            <w:r w:rsidR="000476DB" w:rsidRPr="000476DB">
              <w:rPr>
                <w:rFonts w:ascii="Times New Roman" w:eastAsia="Times New Roman" w:hAnsi="Times New Roman"/>
                <w:snapToGrid w:val="0"/>
                <w:color w:val="000000" w:themeColor="text1"/>
                <w:sz w:val="24"/>
                <w:szCs w:val="24"/>
              </w:rPr>
              <w:t xml:space="preserve"> и услугите</w:t>
            </w:r>
            <w:r w:rsidRPr="000476DB">
              <w:rPr>
                <w:rFonts w:ascii="Times New Roman" w:eastAsia="Times New Roman" w:hAnsi="Times New Roman"/>
                <w:snapToGrid w:val="0"/>
                <w:color w:val="000000" w:themeColor="text1"/>
                <w:sz w:val="24"/>
                <w:szCs w:val="24"/>
              </w:rPr>
              <w:t>. Кръговият модел се основава на подход на използване на ресурсите, проектиране, производство</w:t>
            </w:r>
            <w:r w:rsidR="000476DB" w:rsidRPr="000476DB">
              <w:rPr>
                <w:rFonts w:ascii="Times New Roman" w:eastAsia="Times New Roman" w:hAnsi="Times New Roman"/>
                <w:snapToGrid w:val="0"/>
                <w:color w:val="000000" w:themeColor="text1"/>
                <w:sz w:val="24"/>
                <w:szCs w:val="24"/>
              </w:rPr>
              <w:t>/предоставяне</w:t>
            </w:r>
            <w:r w:rsidRPr="000476DB">
              <w:rPr>
                <w:rFonts w:ascii="Times New Roman" w:eastAsia="Times New Roman" w:hAnsi="Times New Roman"/>
                <w:snapToGrid w:val="0"/>
                <w:color w:val="000000" w:themeColor="text1"/>
                <w:sz w:val="24"/>
                <w:szCs w:val="24"/>
              </w:rPr>
              <w:t xml:space="preserve"> и потребление на продуктите</w:t>
            </w:r>
            <w:r w:rsidR="000476DB" w:rsidRPr="000476DB">
              <w:rPr>
                <w:rFonts w:ascii="Times New Roman" w:eastAsia="Times New Roman" w:hAnsi="Times New Roman"/>
                <w:snapToGrid w:val="0"/>
                <w:color w:val="000000" w:themeColor="text1"/>
                <w:sz w:val="24"/>
                <w:szCs w:val="24"/>
              </w:rPr>
              <w:t>/услугите</w:t>
            </w:r>
            <w:r w:rsidRPr="000476DB">
              <w:rPr>
                <w:rFonts w:ascii="Times New Roman" w:eastAsia="Times New Roman" w:hAnsi="Times New Roman"/>
                <w:snapToGrid w:val="0"/>
                <w:color w:val="000000" w:themeColor="text1"/>
                <w:sz w:val="24"/>
                <w:szCs w:val="24"/>
              </w:rPr>
              <w:t>, който ограничава до минимум образуването на отпадъци, осигурява удължаване на жизнения цикъл на продуктите</w:t>
            </w:r>
            <w:r w:rsidR="000476DB" w:rsidRPr="000476DB">
              <w:rPr>
                <w:rFonts w:ascii="Times New Roman" w:eastAsia="Times New Roman" w:hAnsi="Times New Roman"/>
                <w:snapToGrid w:val="0"/>
                <w:color w:val="000000" w:themeColor="text1"/>
                <w:sz w:val="24"/>
                <w:szCs w:val="24"/>
              </w:rPr>
              <w:t>/услугите</w:t>
            </w:r>
            <w:r w:rsidRPr="000476DB">
              <w:rPr>
                <w:rFonts w:ascii="Times New Roman" w:eastAsia="Times New Roman" w:hAnsi="Times New Roman"/>
                <w:snapToGrid w:val="0"/>
                <w:color w:val="000000" w:themeColor="text1"/>
                <w:sz w:val="24"/>
                <w:szCs w:val="24"/>
              </w:rPr>
              <w:t xml:space="preserve"> (</w:t>
            </w:r>
            <w:r w:rsidR="000476DB" w:rsidRPr="000476DB">
              <w:rPr>
                <w:rFonts w:ascii="Times New Roman" w:eastAsia="Times New Roman" w:hAnsi="Times New Roman"/>
                <w:snapToGrid w:val="0"/>
                <w:color w:val="000000" w:themeColor="text1"/>
                <w:sz w:val="24"/>
                <w:szCs w:val="24"/>
              </w:rPr>
              <w:t xml:space="preserve">напр. </w:t>
            </w:r>
            <w:r w:rsidRPr="000476DB">
              <w:rPr>
                <w:rFonts w:ascii="Times New Roman" w:eastAsia="Times New Roman" w:hAnsi="Times New Roman"/>
                <w:snapToGrid w:val="0"/>
                <w:color w:val="000000" w:themeColor="text1"/>
                <w:sz w:val="24"/>
                <w:szCs w:val="24"/>
              </w:rPr>
              <w:t>увеличаване на трайността им, възможностите з</w:t>
            </w:r>
            <w:r w:rsidR="000476DB" w:rsidRPr="000476DB">
              <w:rPr>
                <w:rFonts w:ascii="Times New Roman" w:eastAsia="Times New Roman" w:hAnsi="Times New Roman"/>
                <w:snapToGrid w:val="0"/>
                <w:color w:val="000000" w:themeColor="text1"/>
                <w:sz w:val="24"/>
                <w:szCs w:val="24"/>
              </w:rPr>
              <w:t xml:space="preserve">а повторна употреба, поправка, </w:t>
            </w:r>
            <w:r w:rsidRPr="000476DB">
              <w:rPr>
                <w:rFonts w:ascii="Times New Roman" w:eastAsia="Times New Roman" w:hAnsi="Times New Roman"/>
                <w:snapToGrid w:val="0"/>
                <w:color w:val="000000" w:themeColor="text1"/>
                <w:sz w:val="24"/>
                <w:szCs w:val="24"/>
              </w:rPr>
              <w:t>рециклиране) и допринася за възстановяване на природните системи чрез ограничаване на количеството отпадъци и прекомерната употреба на ресурси.</w:t>
            </w:r>
          </w:p>
        </w:tc>
      </w:tr>
      <w:tr w:rsidR="001A74FE" w:rsidRPr="00F5314F" w14:paraId="744BEC74" w14:textId="77777777" w:rsidTr="006B7F3D">
        <w:tc>
          <w:tcPr>
            <w:tcW w:w="2405" w:type="dxa"/>
            <w:shd w:val="clear" w:color="auto" w:fill="E6E6E6"/>
          </w:tcPr>
          <w:p w14:paraId="6DE4A53F"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Лигнитни въглища</w:t>
            </w:r>
          </w:p>
        </w:tc>
        <w:tc>
          <w:tcPr>
            <w:tcW w:w="7371" w:type="dxa"/>
            <w:shd w:val="clear" w:color="auto" w:fill="F3F3F3"/>
          </w:tcPr>
          <w:p w14:paraId="77A44730" w14:textId="0202CE70"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чл. 2, пар. 43а от Регламент (ЕО) № 651/2014 „лигнитни въгли</w:t>
            </w:r>
            <w:r w:rsidR="005D5E9C">
              <w:rPr>
                <w:rFonts w:ascii="Times New Roman" w:eastAsia="Times New Roman" w:hAnsi="Times New Roman"/>
                <w:snapToGrid w:val="0"/>
                <w:sz w:val="24"/>
                <w:szCs w:val="24"/>
              </w:rPr>
              <w:t>ща</w:t>
            </w:r>
            <w:r w:rsidR="005D5E9C" w:rsidRPr="005D5E9C">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означава нискокалорични от категория В, ортолигнитни нискокалорични от категория Б или мета лигнитни въглища, както са определени в Международната система за кодификация на въглищата, съставена от Икономическата комисия за Европа на ООН.</w:t>
            </w:r>
          </w:p>
        </w:tc>
      </w:tr>
      <w:tr w:rsidR="001A74FE" w:rsidRPr="00F5314F" w14:paraId="113E1CCA" w14:textId="77777777" w:rsidTr="006B7F3D">
        <w:tc>
          <w:tcPr>
            <w:tcW w:w="2405" w:type="dxa"/>
            <w:shd w:val="clear" w:color="auto" w:fill="E6E6E6"/>
          </w:tcPr>
          <w:p w14:paraId="2B3CED2D"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Материални активи</w:t>
            </w:r>
          </w:p>
        </w:tc>
        <w:tc>
          <w:tcPr>
            <w:tcW w:w="7371" w:type="dxa"/>
            <w:shd w:val="clear" w:color="auto" w:fill="F3F3F3"/>
          </w:tcPr>
          <w:p w14:paraId="5B639E87" w14:textId="3C2EA344"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По смисъла на чл. 2, пар. 29 от Регламент (ЕО</w:t>
            </w:r>
            <w:r w:rsidR="000476DB">
              <w:rPr>
                <w:rFonts w:ascii="Times New Roman" w:eastAsia="Times New Roman" w:hAnsi="Times New Roman"/>
                <w:snapToGrid w:val="0"/>
                <w:sz w:val="24"/>
                <w:szCs w:val="24"/>
              </w:rPr>
              <w:t>) № 651/2014 „материални активи</w:t>
            </w:r>
            <w:r w:rsidR="000476DB" w:rsidRPr="000476DB">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означава активи, състоящи се от земя, сгради, съоръжения, машини и оборудване. </w:t>
            </w:r>
          </w:p>
          <w:p w14:paraId="17C59050" w14:textId="5AAABC75" w:rsidR="005D5E9C" w:rsidRPr="00F5314F" w:rsidRDefault="005D5E9C" w:rsidP="005D5E9C">
            <w:pPr>
              <w:spacing w:after="120" w:line="240" w:lineRule="auto"/>
              <w:jc w:val="both"/>
              <w:rPr>
                <w:rFonts w:ascii="Times New Roman" w:eastAsia="Times New Roman" w:hAnsi="Times New Roman"/>
                <w:b/>
                <w:snapToGrid w:val="0"/>
                <w:sz w:val="24"/>
                <w:szCs w:val="24"/>
              </w:rPr>
            </w:pPr>
            <w:r w:rsidRPr="005D5E9C">
              <w:rPr>
                <w:rFonts w:ascii="Times New Roman" w:eastAsia="Times New Roman" w:hAnsi="Times New Roman"/>
                <w:b/>
                <w:snapToGrid w:val="0"/>
                <w:sz w:val="24"/>
                <w:szCs w:val="24"/>
              </w:rPr>
              <w:t>По настоящата процедура допустимите материални активи включват</w:t>
            </w:r>
            <w:r>
              <w:rPr>
                <w:rFonts w:ascii="Times New Roman" w:eastAsia="Times New Roman" w:hAnsi="Times New Roman"/>
                <w:b/>
                <w:snapToGrid w:val="0"/>
                <w:sz w:val="24"/>
                <w:szCs w:val="24"/>
              </w:rPr>
              <w:t xml:space="preserve"> </w:t>
            </w:r>
            <w:r w:rsidRPr="005D5E9C">
              <w:rPr>
                <w:rFonts w:ascii="Times New Roman" w:eastAsia="Times New Roman" w:hAnsi="Times New Roman"/>
                <w:b/>
                <w:snapToGrid w:val="0"/>
                <w:sz w:val="24"/>
                <w:szCs w:val="24"/>
              </w:rPr>
              <w:t>машини, съоръжения и оборудване</w:t>
            </w:r>
            <w:r>
              <w:rPr>
                <w:rFonts w:ascii="Times New Roman" w:eastAsia="Times New Roman" w:hAnsi="Times New Roman"/>
                <w:b/>
                <w:snapToGrid w:val="0"/>
                <w:sz w:val="24"/>
                <w:szCs w:val="24"/>
              </w:rPr>
              <w:t xml:space="preserve">, </w:t>
            </w:r>
            <w:r w:rsidR="003525F3" w:rsidRPr="003525F3">
              <w:rPr>
                <w:rFonts w:ascii="Times New Roman" w:eastAsia="Times New Roman" w:hAnsi="Times New Roman"/>
                <w:snapToGrid w:val="0"/>
                <w:sz w:val="24"/>
                <w:szCs w:val="24"/>
              </w:rPr>
              <w:t>представляващи дълготрайни материални активи (Д</w:t>
            </w:r>
            <w:r w:rsidR="003525F3" w:rsidRPr="003525F3">
              <w:rPr>
                <w:rFonts w:ascii="Times New Roman" w:eastAsia="Times New Roman" w:hAnsi="Times New Roman"/>
                <w:snapToGrid w:val="0"/>
                <w:sz w:val="24"/>
                <w:szCs w:val="24"/>
                <w:lang w:val="en-US"/>
              </w:rPr>
              <w:t>M</w:t>
            </w:r>
            <w:r w:rsidR="003525F3" w:rsidRPr="003525F3">
              <w:rPr>
                <w:rFonts w:ascii="Times New Roman" w:eastAsia="Times New Roman" w:hAnsi="Times New Roman"/>
                <w:snapToGrid w:val="0"/>
                <w:sz w:val="24"/>
                <w:szCs w:val="24"/>
              </w:rPr>
              <w:t>А),</w:t>
            </w:r>
            <w:r w:rsidR="003525F3" w:rsidRPr="003525F3">
              <w:rPr>
                <w:rFonts w:ascii="Times New Roman" w:eastAsia="Times New Roman" w:hAnsi="Times New Roman"/>
                <w:b/>
                <w:snapToGrid w:val="0"/>
                <w:sz w:val="24"/>
                <w:szCs w:val="24"/>
              </w:rPr>
              <w:t xml:space="preserve"> </w:t>
            </w:r>
            <w:r w:rsidRPr="005D5E9C">
              <w:rPr>
                <w:rFonts w:ascii="Times New Roman" w:eastAsia="Times New Roman" w:hAnsi="Times New Roman"/>
                <w:snapToGrid w:val="0"/>
                <w:sz w:val="24"/>
                <w:szCs w:val="24"/>
              </w:rPr>
              <w:t>необходими за въвеждането на зелени технологии за прилагане на кръгови модели в предприятието</w:t>
            </w:r>
            <w:r>
              <w:rPr>
                <w:rFonts w:ascii="Times New Roman" w:eastAsia="Times New Roman" w:hAnsi="Times New Roman"/>
                <w:snapToGrid w:val="0"/>
                <w:sz w:val="24"/>
                <w:szCs w:val="24"/>
              </w:rPr>
              <w:t>.</w:t>
            </w:r>
          </w:p>
        </w:tc>
      </w:tr>
      <w:tr w:rsidR="001A74FE" w:rsidRPr="00F5314F" w14:paraId="1F478B3B" w14:textId="77777777" w:rsidTr="006B7F3D">
        <w:tc>
          <w:tcPr>
            <w:tcW w:w="2405" w:type="dxa"/>
            <w:shd w:val="clear" w:color="auto" w:fill="E6E6E6"/>
          </w:tcPr>
          <w:p w14:paraId="16E32F0D"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 xml:space="preserve">Микро-, малки и средни </w:t>
            </w:r>
            <w:r w:rsidRPr="00F5314F">
              <w:rPr>
                <w:rFonts w:ascii="Times New Roman" w:hAnsi="Times New Roman"/>
                <w:b/>
                <w:sz w:val="24"/>
                <w:szCs w:val="24"/>
              </w:rPr>
              <w:lastRenderedPageBreak/>
              <w:t>предприятия (МСП)</w:t>
            </w:r>
          </w:p>
        </w:tc>
        <w:tc>
          <w:tcPr>
            <w:tcW w:w="7371" w:type="dxa"/>
            <w:shd w:val="clear" w:color="auto" w:fill="F3F3F3"/>
          </w:tcPr>
          <w:p w14:paraId="451A73F9" w14:textId="77777777" w:rsidR="00A37AA9" w:rsidRPr="00A37AA9" w:rsidRDefault="00A37AA9" w:rsidP="00A37AA9">
            <w:pPr>
              <w:spacing w:after="120" w:line="240" w:lineRule="auto"/>
              <w:jc w:val="both"/>
              <w:rPr>
                <w:rFonts w:ascii="Times New Roman" w:hAnsi="Times New Roman"/>
                <w:sz w:val="24"/>
                <w:szCs w:val="24"/>
              </w:rPr>
            </w:pPr>
            <w:r w:rsidRPr="00A37AA9">
              <w:rPr>
                <w:rFonts w:ascii="Times New Roman" w:hAnsi="Times New Roman"/>
                <w:sz w:val="24"/>
                <w:szCs w:val="24"/>
              </w:rPr>
              <w:lastRenderedPageBreak/>
              <w:t xml:space="preserve">По смисъла на чл. 3 и чл. 4 от Закона за малките и средните предприятия (ЗМСП) и Приложение I към Регламент (ЕС) № 651/2014 </w:t>
            </w:r>
            <w:r w:rsidRPr="00A37AA9">
              <w:rPr>
                <w:rFonts w:ascii="Times New Roman" w:hAnsi="Times New Roman"/>
                <w:sz w:val="24"/>
                <w:szCs w:val="24"/>
              </w:rPr>
              <w:lastRenderedPageBreak/>
              <w:t>на Комисията относно определението за микро-, малки и средни предприятия.</w:t>
            </w:r>
          </w:p>
          <w:p w14:paraId="22DFFAAA" w14:textId="77777777" w:rsidR="00A37AA9" w:rsidRPr="00A37AA9" w:rsidRDefault="00A37AA9" w:rsidP="00A37AA9">
            <w:pPr>
              <w:spacing w:after="120" w:line="240" w:lineRule="auto"/>
              <w:jc w:val="both"/>
              <w:rPr>
                <w:rFonts w:ascii="Times New Roman" w:hAnsi="Times New Roman"/>
                <w:sz w:val="24"/>
                <w:szCs w:val="24"/>
              </w:rPr>
            </w:pPr>
            <w:r w:rsidRPr="00A37AA9">
              <w:rPr>
                <w:rFonts w:ascii="Times New Roman" w:hAnsi="Times New Roman"/>
                <w:sz w:val="24"/>
                <w:szCs w:val="24"/>
              </w:rPr>
              <w:t>Съгласно чл. 3 от ЗМСП, категорията малки и средни предприятия включва предприятията, които имат:</w:t>
            </w:r>
          </w:p>
          <w:p w14:paraId="05A0121F" w14:textId="77777777" w:rsidR="00A37AA9" w:rsidRPr="00A37AA9" w:rsidRDefault="00A37AA9" w:rsidP="00A37AA9">
            <w:pPr>
              <w:spacing w:after="120" w:line="240" w:lineRule="auto"/>
              <w:jc w:val="both"/>
              <w:rPr>
                <w:rFonts w:ascii="Times New Roman" w:hAnsi="Times New Roman"/>
                <w:sz w:val="24"/>
                <w:szCs w:val="24"/>
              </w:rPr>
            </w:pPr>
            <w:r w:rsidRPr="00A37AA9">
              <w:rPr>
                <w:rFonts w:ascii="Times New Roman" w:hAnsi="Times New Roman"/>
                <w:sz w:val="24"/>
                <w:szCs w:val="24"/>
              </w:rPr>
              <w:t>1. средносписъчен брой на персонала, по-малък от 250 души, и</w:t>
            </w:r>
          </w:p>
          <w:p w14:paraId="68E3D1E0" w14:textId="77777777" w:rsidR="00A37AA9" w:rsidRPr="00A37AA9" w:rsidRDefault="00A37AA9" w:rsidP="00A37AA9">
            <w:pPr>
              <w:spacing w:after="120" w:line="240" w:lineRule="auto"/>
              <w:jc w:val="both"/>
              <w:rPr>
                <w:rFonts w:ascii="Times New Roman" w:hAnsi="Times New Roman"/>
                <w:sz w:val="24"/>
                <w:szCs w:val="24"/>
              </w:rPr>
            </w:pPr>
            <w:r w:rsidRPr="00A37AA9">
              <w:rPr>
                <w:rFonts w:ascii="Times New Roman" w:hAnsi="Times New Roman"/>
                <w:sz w:val="24"/>
                <w:szCs w:val="24"/>
              </w:rPr>
              <w:t>2. годишен оборот, който не превишава 50 000 000 евро, и/или стойност на активите, която не превишава 43 000 000 евро.</w:t>
            </w:r>
          </w:p>
          <w:p w14:paraId="06F77B6F" w14:textId="77777777" w:rsidR="00A37AA9" w:rsidRPr="00A37AA9" w:rsidRDefault="00A37AA9" w:rsidP="00A37AA9">
            <w:pPr>
              <w:spacing w:after="120" w:line="240" w:lineRule="auto"/>
              <w:jc w:val="both"/>
              <w:rPr>
                <w:rFonts w:ascii="Times New Roman" w:hAnsi="Times New Roman"/>
                <w:sz w:val="24"/>
                <w:szCs w:val="24"/>
              </w:rPr>
            </w:pPr>
            <w:r w:rsidRPr="00A37AA9">
              <w:rPr>
                <w:rFonts w:ascii="Times New Roman" w:hAnsi="Times New Roman"/>
                <w:sz w:val="24"/>
                <w:szCs w:val="24"/>
              </w:rPr>
              <w:t>От предприятията по ал. 1 малки предприятия са тези, които имат:</w:t>
            </w:r>
          </w:p>
          <w:p w14:paraId="5F470ADE" w14:textId="77777777" w:rsidR="00A37AA9" w:rsidRPr="00A37AA9" w:rsidRDefault="00A37AA9" w:rsidP="00A37AA9">
            <w:pPr>
              <w:spacing w:after="120" w:line="240" w:lineRule="auto"/>
              <w:jc w:val="both"/>
              <w:rPr>
                <w:rFonts w:ascii="Times New Roman" w:hAnsi="Times New Roman"/>
                <w:sz w:val="24"/>
                <w:szCs w:val="24"/>
              </w:rPr>
            </w:pPr>
            <w:r w:rsidRPr="00A37AA9">
              <w:rPr>
                <w:rFonts w:ascii="Times New Roman" w:hAnsi="Times New Roman"/>
                <w:sz w:val="24"/>
                <w:szCs w:val="24"/>
              </w:rPr>
              <w:t>1. средносписъчен брой на персонала, по-малък от 50 души, и</w:t>
            </w:r>
          </w:p>
          <w:p w14:paraId="4378D3AB" w14:textId="77777777" w:rsidR="00A37AA9" w:rsidRPr="00A37AA9" w:rsidRDefault="00A37AA9" w:rsidP="00A37AA9">
            <w:pPr>
              <w:spacing w:after="120" w:line="240" w:lineRule="auto"/>
              <w:jc w:val="both"/>
              <w:rPr>
                <w:rFonts w:ascii="Times New Roman" w:hAnsi="Times New Roman"/>
                <w:sz w:val="24"/>
                <w:szCs w:val="24"/>
              </w:rPr>
            </w:pPr>
            <w:r w:rsidRPr="00A37AA9">
              <w:rPr>
                <w:rFonts w:ascii="Times New Roman" w:hAnsi="Times New Roman"/>
                <w:sz w:val="24"/>
                <w:szCs w:val="24"/>
              </w:rPr>
              <w:t>2. годишен оборот, който не превишава 10 000 000 евро, и/или стойност на активите, която не превишава 10 000 000 евро.</w:t>
            </w:r>
          </w:p>
          <w:p w14:paraId="0D5D2BFA" w14:textId="77777777" w:rsidR="00A37AA9" w:rsidRPr="00A37AA9" w:rsidRDefault="00A37AA9" w:rsidP="00A37AA9">
            <w:pPr>
              <w:spacing w:after="120" w:line="240" w:lineRule="auto"/>
              <w:jc w:val="both"/>
              <w:rPr>
                <w:rFonts w:ascii="Times New Roman" w:hAnsi="Times New Roman"/>
                <w:sz w:val="24"/>
                <w:szCs w:val="24"/>
              </w:rPr>
            </w:pPr>
            <w:r w:rsidRPr="00A37AA9">
              <w:rPr>
                <w:rFonts w:ascii="Times New Roman" w:hAnsi="Times New Roman"/>
                <w:sz w:val="24"/>
                <w:szCs w:val="24"/>
              </w:rPr>
              <w:t>От предприятията по ал. 1 микропредприятия са тези, които имат:</w:t>
            </w:r>
          </w:p>
          <w:p w14:paraId="4A6CDC07" w14:textId="77777777" w:rsidR="00A37AA9" w:rsidRPr="00A37AA9" w:rsidRDefault="00A37AA9" w:rsidP="00A37AA9">
            <w:pPr>
              <w:spacing w:after="120" w:line="240" w:lineRule="auto"/>
              <w:jc w:val="both"/>
              <w:rPr>
                <w:rFonts w:ascii="Times New Roman" w:hAnsi="Times New Roman"/>
                <w:sz w:val="24"/>
                <w:szCs w:val="24"/>
              </w:rPr>
            </w:pPr>
            <w:r w:rsidRPr="00A37AA9">
              <w:rPr>
                <w:rFonts w:ascii="Times New Roman" w:hAnsi="Times New Roman"/>
                <w:sz w:val="24"/>
                <w:szCs w:val="24"/>
              </w:rPr>
              <w:t>1. средносписъчен брой на персонала, по-малък от 10 души, и</w:t>
            </w:r>
          </w:p>
          <w:p w14:paraId="4D41D9F3" w14:textId="77777777" w:rsidR="00A37AA9" w:rsidRPr="00A37AA9" w:rsidRDefault="00A37AA9" w:rsidP="00A37AA9">
            <w:pPr>
              <w:spacing w:after="120" w:line="240" w:lineRule="auto"/>
              <w:jc w:val="both"/>
              <w:rPr>
                <w:rFonts w:ascii="Times New Roman" w:hAnsi="Times New Roman"/>
                <w:sz w:val="24"/>
                <w:szCs w:val="24"/>
              </w:rPr>
            </w:pPr>
            <w:r w:rsidRPr="00A37AA9">
              <w:rPr>
                <w:rFonts w:ascii="Times New Roman" w:hAnsi="Times New Roman"/>
                <w:sz w:val="24"/>
                <w:szCs w:val="24"/>
              </w:rPr>
              <w:t>2. годишен оборот, който не превишава 2 000 000 евро, и/или стойност на активите, която не превишава 2 000 000 евро.</w:t>
            </w:r>
          </w:p>
          <w:p w14:paraId="72531E35" w14:textId="77777777" w:rsidR="00A37AA9" w:rsidRPr="00A37AA9" w:rsidRDefault="00A37AA9" w:rsidP="00A37AA9">
            <w:pPr>
              <w:spacing w:after="120" w:line="240" w:lineRule="auto"/>
              <w:jc w:val="both"/>
              <w:rPr>
                <w:rFonts w:ascii="Times New Roman" w:hAnsi="Times New Roman"/>
                <w:sz w:val="24"/>
                <w:szCs w:val="24"/>
              </w:rPr>
            </w:pPr>
            <w:r w:rsidRPr="00A37AA9">
              <w:rPr>
                <w:rFonts w:ascii="Times New Roman" w:hAnsi="Times New Roman"/>
                <w:sz w:val="24"/>
                <w:szCs w:val="24"/>
              </w:rPr>
              <w:t>Данните за персонал, оборот и активи на предприятието се определят като се вземат предвид всички отношения на партньорство и свързаност съгласно чл. 4 от ЗМСП.</w:t>
            </w:r>
          </w:p>
          <w:p w14:paraId="166AEE60" w14:textId="04FED463" w:rsidR="001A74FE" w:rsidRPr="00F5314F" w:rsidRDefault="00A37AA9">
            <w:pPr>
              <w:spacing w:after="120" w:line="240" w:lineRule="auto"/>
              <w:jc w:val="both"/>
              <w:rPr>
                <w:rFonts w:ascii="Times New Roman" w:eastAsia="Times New Roman" w:hAnsi="Times New Roman"/>
                <w:snapToGrid w:val="0"/>
                <w:sz w:val="24"/>
                <w:szCs w:val="24"/>
              </w:rPr>
            </w:pPr>
            <w:r w:rsidRPr="00A37AA9">
              <w:rPr>
                <w:rFonts w:ascii="Times New Roman" w:hAnsi="Times New Roman"/>
                <w:sz w:val="24"/>
                <w:szCs w:val="24"/>
              </w:rPr>
              <w:t>Съгласно чл. 4б, ал. 1 от ЗМСП данните за персонал, оборот и активи на предприятието се определят на базата на предходната финансова година. Съгласно чл. 4б, ал. 2 от ЗМСП, ако в 2 (две) последователни финансови години предприятието превиши или слезе под границите по чл. 3, това се отразява на неговата категория.</w:t>
            </w:r>
          </w:p>
        </w:tc>
      </w:tr>
      <w:tr w:rsidR="001A74FE" w:rsidRPr="00F5314F" w14:paraId="0CEE9652" w14:textId="77777777" w:rsidTr="006B7F3D">
        <w:tc>
          <w:tcPr>
            <w:tcW w:w="2405" w:type="dxa"/>
            <w:shd w:val="clear" w:color="auto" w:fill="E6E6E6"/>
          </w:tcPr>
          <w:p w14:paraId="16B50C4F"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 xml:space="preserve">Място на изпълнение на проекта </w:t>
            </w:r>
          </w:p>
        </w:tc>
        <w:tc>
          <w:tcPr>
            <w:tcW w:w="7371" w:type="dxa"/>
            <w:shd w:val="clear" w:color="auto" w:fill="F3F3F3"/>
          </w:tcPr>
          <w:p w14:paraId="3AA5FD2E" w14:textId="26AA43B5" w:rsidR="001A74FE" w:rsidRPr="00F5314F" w:rsidRDefault="005365B3" w:rsidP="004C68AF">
            <w:pPr>
              <w:spacing w:after="120" w:line="240" w:lineRule="auto"/>
              <w:jc w:val="both"/>
              <w:rPr>
                <w:rFonts w:ascii="Times New Roman" w:eastAsia="Times New Roman" w:hAnsi="Times New Roman"/>
                <w:snapToGrid w:val="0"/>
                <w:sz w:val="24"/>
                <w:szCs w:val="24"/>
              </w:rPr>
            </w:pPr>
            <w:r w:rsidRPr="005365B3">
              <w:rPr>
                <w:rFonts w:ascii="Times New Roman" w:eastAsia="Times New Roman" w:hAnsi="Times New Roman"/>
                <w:snapToGrid w:val="0"/>
                <w:sz w:val="24"/>
                <w:szCs w:val="24"/>
              </w:rPr>
              <w:t xml:space="preserve">Мястото на физическото осъществяване на инвестицията, на което може да се провери и удостовери </w:t>
            </w:r>
            <w:r>
              <w:rPr>
                <w:rFonts w:ascii="Times New Roman" w:eastAsia="Times New Roman" w:hAnsi="Times New Roman"/>
                <w:snapToGrid w:val="0"/>
                <w:sz w:val="24"/>
                <w:szCs w:val="24"/>
              </w:rPr>
              <w:t xml:space="preserve">въвеждането на </w:t>
            </w:r>
            <w:r w:rsidR="004223CA">
              <w:rPr>
                <w:rFonts w:ascii="Times New Roman" w:eastAsia="Times New Roman" w:hAnsi="Times New Roman"/>
                <w:snapToGrid w:val="0"/>
                <w:sz w:val="24"/>
                <w:szCs w:val="24"/>
              </w:rPr>
              <w:t xml:space="preserve">зелената/ите технология/и за прилагането на </w:t>
            </w:r>
            <w:r w:rsidR="004C68AF">
              <w:rPr>
                <w:rFonts w:ascii="Times New Roman" w:eastAsia="Times New Roman" w:hAnsi="Times New Roman"/>
                <w:snapToGrid w:val="0"/>
                <w:sz w:val="24"/>
                <w:szCs w:val="24"/>
              </w:rPr>
              <w:t>кръговия</w:t>
            </w:r>
            <w:r w:rsidR="008278D9" w:rsidRPr="008278D9">
              <w:rPr>
                <w:rFonts w:ascii="Times New Roman" w:eastAsia="Times New Roman" w:hAnsi="Times New Roman"/>
                <w:snapToGrid w:val="0"/>
                <w:sz w:val="24"/>
                <w:szCs w:val="24"/>
              </w:rPr>
              <w:t>/</w:t>
            </w:r>
            <w:r w:rsidR="008278D9">
              <w:rPr>
                <w:rFonts w:ascii="Times New Roman" w:eastAsia="Times New Roman" w:hAnsi="Times New Roman"/>
                <w:snapToGrid w:val="0"/>
                <w:sz w:val="24"/>
                <w:szCs w:val="24"/>
              </w:rPr>
              <w:t>те</w:t>
            </w:r>
            <w:r>
              <w:rPr>
                <w:rFonts w:ascii="Times New Roman" w:eastAsia="Times New Roman" w:hAnsi="Times New Roman"/>
                <w:snapToGrid w:val="0"/>
                <w:sz w:val="24"/>
                <w:szCs w:val="24"/>
              </w:rPr>
              <w:t xml:space="preserve"> модел</w:t>
            </w:r>
            <w:r w:rsidR="008278D9">
              <w:rPr>
                <w:rFonts w:ascii="Times New Roman" w:eastAsia="Times New Roman" w:hAnsi="Times New Roman"/>
                <w:snapToGrid w:val="0"/>
                <w:sz w:val="24"/>
                <w:szCs w:val="24"/>
              </w:rPr>
              <w:t>/и</w:t>
            </w:r>
            <w:r>
              <w:rPr>
                <w:rFonts w:ascii="Times New Roman" w:eastAsia="Times New Roman" w:hAnsi="Times New Roman"/>
                <w:snapToGrid w:val="0"/>
                <w:sz w:val="24"/>
                <w:szCs w:val="24"/>
              </w:rPr>
              <w:t xml:space="preserve"> в</w:t>
            </w:r>
            <w:r w:rsidR="001A74FE">
              <w:rPr>
                <w:rFonts w:ascii="Times New Roman" w:eastAsia="Times New Roman" w:hAnsi="Times New Roman"/>
                <w:snapToGrid w:val="0"/>
                <w:sz w:val="24"/>
                <w:szCs w:val="24"/>
              </w:rPr>
              <w:t xml:space="preserve"> предприятието</w:t>
            </w:r>
            <w:r w:rsidR="008278D9">
              <w:rPr>
                <w:rFonts w:ascii="Times New Roman" w:eastAsia="Times New Roman" w:hAnsi="Times New Roman"/>
                <w:snapToGrid w:val="0"/>
                <w:sz w:val="24"/>
                <w:szCs w:val="24"/>
              </w:rPr>
              <w:t>, за който/които е заявена подкрепа по проекта</w:t>
            </w:r>
            <w:r w:rsidR="001A74FE" w:rsidRPr="00F5314F">
              <w:rPr>
                <w:rFonts w:ascii="Times New Roman" w:eastAsia="Times New Roman" w:hAnsi="Times New Roman"/>
                <w:snapToGrid w:val="0"/>
                <w:sz w:val="24"/>
                <w:szCs w:val="24"/>
              </w:rPr>
              <w:t>.</w:t>
            </w:r>
          </w:p>
        </w:tc>
      </w:tr>
      <w:tr w:rsidR="001A74FE" w:rsidRPr="00F5314F" w14:paraId="215EEF93" w14:textId="77777777" w:rsidTr="006B7F3D">
        <w:tc>
          <w:tcPr>
            <w:tcW w:w="2405" w:type="dxa"/>
            <w:shd w:val="clear" w:color="auto" w:fill="E6E6E6"/>
          </w:tcPr>
          <w:p w14:paraId="6FB169D4" w14:textId="107E51A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Национално съфинансиране</w:t>
            </w:r>
          </w:p>
        </w:tc>
        <w:tc>
          <w:tcPr>
            <w:tcW w:w="7371" w:type="dxa"/>
            <w:shd w:val="clear" w:color="auto" w:fill="F3F3F3"/>
          </w:tcPr>
          <w:p w14:paraId="0435DCA9" w14:textId="590F3CA6"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hAnsi="Times New Roman"/>
                <w:sz w:val="24"/>
                <w:szCs w:val="24"/>
              </w:rPr>
              <w:t>Съфинансиране, осигурено чрез трансфер от централния бюджет съгласно чл. 60, т. 2 от Закона за публичните финанси.</w:t>
            </w:r>
          </w:p>
        </w:tc>
      </w:tr>
      <w:tr w:rsidR="001A74FE" w:rsidRPr="00F5314F" w14:paraId="48639AB8" w14:textId="77777777" w:rsidTr="006B7F3D">
        <w:tc>
          <w:tcPr>
            <w:tcW w:w="2405" w:type="dxa"/>
            <w:shd w:val="clear" w:color="auto" w:fill="E6E6E6"/>
          </w:tcPr>
          <w:p w14:paraId="38097BA4"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Нематериални активи</w:t>
            </w:r>
          </w:p>
        </w:tc>
        <w:tc>
          <w:tcPr>
            <w:tcW w:w="7371" w:type="dxa"/>
            <w:shd w:val="clear" w:color="auto" w:fill="F3F3F3"/>
          </w:tcPr>
          <w:p w14:paraId="1CD6E6EB" w14:textId="5F2C36A8" w:rsidR="001A74FE" w:rsidRDefault="001A74FE" w:rsidP="001A74FE">
            <w:pPr>
              <w:spacing w:after="120" w:line="240" w:lineRule="auto"/>
              <w:jc w:val="both"/>
              <w:rPr>
                <w:rFonts w:ascii="Times New Roman" w:eastAsia="Times New Roman" w:hAnsi="Times New Roman"/>
                <w:snapToGrid w:val="0"/>
                <w:sz w:val="24"/>
                <w:szCs w:val="24"/>
                <w:lang w:val="bg"/>
              </w:rPr>
            </w:pPr>
            <w:r w:rsidRPr="00F5314F">
              <w:rPr>
                <w:rFonts w:ascii="Times New Roman" w:eastAsia="Times New Roman" w:hAnsi="Times New Roman"/>
                <w:snapToGrid w:val="0"/>
                <w:sz w:val="24"/>
                <w:szCs w:val="24"/>
              </w:rPr>
              <w:t xml:space="preserve">По смисъла на чл. 2, пар. 30 от Регламент (ЕО) </w:t>
            </w:r>
            <w:r w:rsidR="008278D9">
              <w:rPr>
                <w:rFonts w:ascii="Times New Roman" w:eastAsia="Times New Roman" w:hAnsi="Times New Roman"/>
                <w:snapToGrid w:val="0"/>
                <w:sz w:val="24"/>
                <w:szCs w:val="24"/>
              </w:rPr>
              <w:t>№ 651/2014 „Нематериални активи</w:t>
            </w:r>
            <w:r w:rsidR="008278D9" w:rsidRPr="008278D9">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w:t>
            </w:r>
            <w:r w:rsidRPr="00F5314F">
              <w:rPr>
                <w:rFonts w:ascii="Times New Roman" w:eastAsia="Times New Roman" w:hAnsi="Times New Roman"/>
                <w:snapToGrid w:val="0"/>
                <w:sz w:val="24"/>
                <w:szCs w:val="24"/>
                <w:lang w:val="bg"/>
              </w:rPr>
              <w:t>означава активи, които нямат физически или финансов израз, като патенти, лицензи, ноу- хау или друга интелектуална собственост.</w:t>
            </w:r>
          </w:p>
          <w:p w14:paraId="5ED910BA" w14:textId="2F32666E" w:rsidR="005D5E9C" w:rsidRPr="003525F3" w:rsidRDefault="005D5E9C" w:rsidP="003525F3">
            <w:pPr>
              <w:spacing w:after="120" w:line="240" w:lineRule="auto"/>
              <w:jc w:val="both"/>
              <w:rPr>
                <w:rFonts w:ascii="Times New Roman" w:eastAsia="Times New Roman" w:hAnsi="Times New Roman"/>
                <w:b/>
                <w:snapToGrid w:val="0"/>
                <w:sz w:val="24"/>
                <w:szCs w:val="24"/>
                <w:lang w:val="bg"/>
              </w:rPr>
            </w:pPr>
            <w:r w:rsidRPr="005D5E9C">
              <w:rPr>
                <w:rFonts w:ascii="Times New Roman" w:eastAsia="Times New Roman" w:hAnsi="Times New Roman"/>
                <w:b/>
                <w:snapToGrid w:val="0"/>
                <w:sz w:val="24"/>
                <w:szCs w:val="24"/>
                <w:lang w:val="bg"/>
              </w:rPr>
              <w:t xml:space="preserve">По настоящата процедура допустимите нематериални активи включват </w:t>
            </w:r>
            <w:r w:rsidR="003525F3" w:rsidRPr="000C0034">
              <w:rPr>
                <w:rFonts w:ascii="Times New Roman" w:eastAsia="Times New Roman" w:hAnsi="Times New Roman"/>
                <w:b/>
                <w:snapToGrid w:val="0"/>
                <w:sz w:val="24"/>
                <w:szCs w:val="24"/>
                <w:lang w:val="bg"/>
              </w:rPr>
              <w:t>софтуери, патенти, полезни модели, промишлени дизайни, лицензии</w:t>
            </w:r>
            <w:r w:rsidR="003525F3">
              <w:rPr>
                <w:rFonts w:ascii="Times New Roman" w:eastAsia="Times New Roman" w:hAnsi="Times New Roman"/>
                <w:b/>
                <w:snapToGrid w:val="0"/>
                <w:sz w:val="24"/>
                <w:szCs w:val="24"/>
                <w:lang w:val="bg"/>
              </w:rPr>
              <w:t xml:space="preserve">, </w:t>
            </w:r>
            <w:r w:rsidR="003525F3" w:rsidRPr="003525F3">
              <w:rPr>
                <w:rFonts w:ascii="Times New Roman" w:eastAsia="Times New Roman" w:hAnsi="Times New Roman"/>
                <w:snapToGrid w:val="0"/>
                <w:sz w:val="24"/>
                <w:szCs w:val="24"/>
                <w:lang w:val="bg"/>
              </w:rPr>
              <w:t>представляващи дълготрайни нематериални активи (ДНА),</w:t>
            </w:r>
            <w:r w:rsidR="003525F3">
              <w:rPr>
                <w:rFonts w:ascii="Times New Roman" w:eastAsia="Times New Roman" w:hAnsi="Times New Roman"/>
                <w:b/>
                <w:snapToGrid w:val="0"/>
                <w:sz w:val="24"/>
                <w:szCs w:val="24"/>
                <w:lang w:val="bg"/>
              </w:rPr>
              <w:t xml:space="preserve"> </w:t>
            </w:r>
            <w:r w:rsidR="003525F3" w:rsidRPr="003525F3">
              <w:rPr>
                <w:rFonts w:ascii="Times New Roman" w:eastAsia="Times New Roman" w:hAnsi="Times New Roman"/>
                <w:snapToGrid w:val="0"/>
                <w:sz w:val="24"/>
                <w:szCs w:val="24"/>
                <w:lang w:val="bg"/>
              </w:rPr>
              <w:t>необходими за въвеждането на зелени технологии за прилагане на кръгови модели в предприятието.</w:t>
            </w:r>
          </w:p>
        </w:tc>
      </w:tr>
      <w:tr w:rsidR="001A74FE" w:rsidRPr="00F5314F" w14:paraId="2AE0517E" w14:textId="77777777" w:rsidTr="006B7F3D">
        <w:tc>
          <w:tcPr>
            <w:tcW w:w="2405" w:type="dxa"/>
            <w:shd w:val="clear" w:color="auto" w:fill="E6E6E6"/>
          </w:tcPr>
          <w:p w14:paraId="303354F2"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Ненанасяне на значителни вреди</w:t>
            </w:r>
          </w:p>
        </w:tc>
        <w:tc>
          <w:tcPr>
            <w:tcW w:w="7371" w:type="dxa"/>
            <w:shd w:val="clear" w:color="auto" w:fill="F3F3F3"/>
          </w:tcPr>
          <w:p w14:paraId="3C4E820F" w14:textId="3EAAE09A" w:rsidR="001A74FE" w:rsidRPr="00F5314F" w:rsidRDefault="008278D9" w:rsidP="001A74FE">
            <w:pPr>
              <w:spacing w:after="120" w:line="240" w:lineRule="auto"/>
              <w:jc w:val="both"/>
              <w:rPr>
                <w:rFonts w:ascii="Times New Roman" w:eastAsia="Times New Roman" w:hAnsi="Times New Roman"/>
                <w:snapToGrid w:val="0"/>
                <w:sz w:val="24"/>
                <w:szCs w:val="24"/>
              </w:rPr>
            </w:pPr>
            <w:r>
              <w:rPr>
                <w:rFonts w:ascii="Times New Roman" w:hAnsi="Times New Roman"/>
                <w:sz w:val="24"/>
                <w:szCs w:val="24"/>
              </w:rPr>
              <w:t>„Ненанасяне на значителни вреди</w:t>
            </w:r>
            <w:r w:rsidRPr="008278D9">
              <w:rPr>
                <w:rFonts w:ascii="Times New Roman" w:hAnsi="Times New Roman"/>
                <w:sz w:val="24"/>
                <w:szCs w:val="24"/>
              </w:rPr>
              <w:t>”</w:t>
            </w:r>
            <w:r w:rsidR="001A74FE" w:rsidRPr="00F5314F">
              <w:rPr>
                <w:rFonts w:ascii="Times New Roman" w:hAnsi="Times New Roman"/>
                <w:sz w:val="24"/>
                <w:szCs w:val="24"/>
              </w:rPr>
              <w:t xml:space="preserve"> означава да не се подкрепят или извършват икономически дейности, които нанасят значителни вреди на която и да било екологична цел, когато е приложимо, по смисъла на член 17 от Регламент (ЕС) 2020/852.</w:t>
            </w:r>
          </w:p>
        </w:tc>
      </w:tr>
      <w:tr w:rsidR="001A74FE" w:rsidRPr="00F5314F" w14:paraId="3C772741" w14:textId="77777777" w:rsidTr="006B7F3D">
        <w:tc>
          <w:tcPr>
            <w:tcW w:w="2405" w:type="dxa"/>
            <w:shd w:val="clear" w:color="auto" w:fill="E6E6E6"/>
          </w:tcPr>
          <w:p w14:paraId="7AA312A8"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 xml:space="preserve">Нередност </w:t>
            </w:r>
          </w:p>
        </w:tc>
        <w:tc>
          <w:tcPr>
            <w:tcW w:w="7371" w:type="dxa"/>
            <w:shd w:val="clear" w:color="auto" w:fill="F3F3F3"/>
          </w:tcPr>
          <w:p w14:paraId="5D0FA699" w14:textId="54F55F85"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p>
        </w:tc>
      </w:tr>
      <w:tr w:rsidR="008278D9" w:rsidRPr="008278D9" w14:paraId="1DA3FCFF" w14:textId="77777777" w:rsidTr="006B7F3D">
        <w:tc>
          <w:tcPr>
            <w:tcW w:w="2405" w:type="dxa"/>
            <w:shd w:val="clear" w:color="auto" w:fill="E7E6E6" w:themeFill="background2"/>
          </w:tcPr>
          <w:p w14:paraId="010FAB3B" w14:textId="3AD39866" w:rsidR="004A459C" w:rsidRPr="008278D9" w:rsidRDefault="004A459C" w:rsidP="004A459C">
            <w:pPr>
              <w:spacing w:after="120" w:line="240" w:lineRule="auto"/>
              <w:rPr>
                <w:rFonts w:ascii="Times New Roman" w:hAnsi="Times New Roman"/>
                <w:b/>
                <w:color w:val="000000" w:themeColor="text1"/>
                <w:sz w:val="24"/>
                <w:szCs w:val="24"/>
                <w:lang w:val="en-US"/>
              </w:rPr>
            </w:pPr>
            <w:r w:rsidRPr="002E21E2">
              <w:rPr>
                <w:rFonts w:ascii="Times New Roman" w:eastAsia="Times New Roman" w:hAnsi="Times New Roman"/>
                <w:b/>
                <w:snapToGrid w:val="0"/>
                <w:sz w:val="24"/>
                <w:szCs w:val="24"/>
              </w:rPr>
              <w:t>Опаковка</w:t>
            </w:r>
          </w:p>
        </w:tc>
        <w:tc>
          <w:tcPr>
            <w:tcW w:w="7371" w:type="dxa"/>
            <w:shd w:val="clear" w:color="auto" w:fill="F2F2F2" w:themeFill="background1" w:themeFillShade="F2"/>
          </w:tcPr>
          <w:p w14:paraId="628A49E2" w14:textId="77777777" w:rsidR="004A459C" w:rsidRPr="008278D9" w:rsidRDefault="004A459C" w:rsidP="004A459C">
            <w:pPr>
              <w:spacing w:after="60" w:line="240" w:lineRule="auto"/>
              <w:jc w:val="both"/>
              <w:rPr>
                <w:rFonts w:ascii="Times New Roman" w:eastAsia="Times New Roman" w:hAnsi="Times New Roman"/>
                <w:snapToGrid w:val="0"/>
                <w:color w:val="000000" w:themeColor="text1"/>
                <w:sz w:val="24"/>
                <w:szCs w:val="24"/>
              </w:rPr>
            </w:pPr>
            <w:r w:rsidRPr="008278D9">
              <w:rPr>
                <w:rFonts w:ascii="Times New Roman" w:eastAsia="Times New Roman" w:hAnsi="Times New Roman"/>
                <w:snapToGrid w:val="0"/>
                <w:color w:val="000000" w:themeColor="text1"/>
                <w:sz w:val="24"/>
                <w:szCs w:val="24"/>
              </w:rPr>
              <w:t>„Опаковка” са всички продукти, направени от материал от всякакво естество, използвани, за да се поставят в тях, съхраняват, пренасят, доставят и представят стоки, от сурови материали до обработени стоки, от производителя до ползвателя или потребителя. Артикули, които „не се връщат” и се използват за същите цели, също се считат за опаковки.</w:t>
            </w:r>
          </w:p>
          <w:p w14:paraId="6E415238" w14:textId="77777777" w:rsidR="004A459C" w:rsidRPr="008278D9" w:rsidRDefault="004A459C" w:rsidP="004A459C">
            <w:pPr>
              <w:spacing w:after="60" w:line="240" w:lineRule="auto"/>
              <w:jc w:val="both"/>
              <w:rPr>
                <w:rFonts w:ascii="Times New Roman" w:eastAsia="Times New Roman" w:hAnsi="Times New Roman"/>
                <w:snapToGrid w:val="0"/>
                <w:color w:val="000000" w:themeColor="text1"/>
                <w:sz w:val="24"/>
                <w:szCs w:val="24"/>
              </w:rPr>
            </w:pPr>
            <w:r w:rsidRPr="008278D9">
              <w:rPr>
                <w:rFonts w:ascii="Times New Roman" w:eastAsia="Times New Roman" w:hAnsi="Times New Roman"/>
                <w:snapToGrid w:val="0"/>
                <w:color w:val="000000" w:themeColor="text1"/>
                <w:sz w:val="24"/>
                <w:szCs w:val="24"/>
              </w:rPr>
              <w:t>„Опаковката” включва само:</w:t>
            </w:r>
          </w:p>
          <w:p w14:paraId="5AFC167E" w14:textId="77777777" w:rsidR="004A459C" w:rsidRPr="008278D9" w:rsidRDefault="004A459C" w:rsidP="004A459C">
            <w:pPr>
              <w:spacing w:after="60" w:line="240" w:lineRule="auto"/>
              <w:jc w:val="both"/>
              <w:rPr>
                <w:rFonts w:ascii="Times New Roman" w:eastAsia="Times New Roman" w:hAnsi="Times New Roman"/>
                <w:snapToGrid w:val="0"/>
                <w:color w:val="000000" w:themeColor="text1"/>
                <w:sz w:val="24"/>
                <w:szCs w:val="24"/>
              </w:rPr>
            </w:pPr>
            <w:r w:rsidRPr="008278D9">
              <w:rPr>
                <w:rFonts w:ascii="Times New Roman" w:eastAsia="Times New Roman" w:hAnsi="Times New Roman"/>
                <w:snapToGrid w:val="0"/>
                <w:color w:val="000000" w:themeColor="text1"/>
                <w:sz w:val="24"/>
                <w:szCs w:val="24"/>
              </w:rPr>
              <w:t>а) търговска опаковка или първична опаковка, т.е. опаковка, замислена като единица стока за продажба на крайния потребител на мястото на покупката;</w:t>
            </w:r>
          </w:p>
          <w:p w14:paraId="13F7CC33" w14:textId="77777777" w:rsidR="004A459C" w:rsidRPr="008278D9" w:rsidRDefault="004A459C" w:rsidP="004A459C">
            <w:pPr>
              <w:spacing w:after="60" w:line="240" w:lineRule="auto"/>
              <w:jc w:val="both"/>
              <w:rPr>
                <w:rFonts w:ascii="Times New Roman" w:eastAsia="Times New Roman" w:hAnsi="Times New Roman"/>
                <w:snapToGrid w:val="0"/>
                <w:color w:val="000000" w:themeColor="text1"/>
                <w:sz w:val="24"/>
                <w:szCs w:val="24"/>
              </w:rPr>
            </w:pPr>
            <w:r w:rsidRPr="008278D9">
              <w:rPr>
                <w:rFonts w:ascii="Times New Roman" w:eastAsia="Times New Roman" w:hAnsi="Times New Roman"/>
                <w:snapToGrid w:val="0"/>
                <w:color w:val="000000" w:themeColor="text1"/>
                <w:sz w:val="24"/>
                <w:szCs w:val="24"/>
              </w:rPr>
              <w:t>б) групова опаковка или вторична опаковка, т.е. опаковка, замислена за група от определен брой единици стока на мястото на продажбата, независимо дали ще се продава по този начин на крайния ползвател или потребител, или служи само за попълване на рафтовете на мястото на продажба; тя се отстранява от продукта, без да се отразява на качествата му;</w:t>
            </w:r>
          </w:p>
          <w:p w14:paraId="512899E0" w14:textId="0C5756D5" w:rsidR="0038037E" w:rsidRPr="008278D9" w:rsidRDefault="004A459C" w:rsidP="0038037E">
            <w:pPr>
              <w:spacing w:after="120" w:line="240" w:lineRule="auto"/>
              <w:jc w:val="both"/>
              <w:rPr>
                <w:rFonts w:ascii="Times New Roman" w:eastAsia="Times New Roman" w:hAnsi="Times New Roman"/>
                <w:snapToGrid w:val="0"/>
                <w:color w:val="000000" w:themeColor="text1"/>
                <w:sz w:val="24"/>
                <w:szCs w:val="24"/>
              </w:rPr>
            </w:pPr>
            <w:r w:rsidRPr="008278D9">
              <w:rPr>
                <w:rFonts w:ascii="Times New Roman" w:eastAsia="Times New Roman" w:hAnsi="Times New Roman"/>
                <w:snapToGrid w:val="0"/>
                <w:color w:val="000000" w:themeColor="text1"/>
                <w:sz w:val="24"/>
                <w:szCs w:val="24"/>
              </w:rPr>
              <w:t>в) транспортна опаковка или третична опаковка, т.е. опаковка, замислена за улесняване на пренасянето и транспорта на брой артикули или групови опаковки, за да се предотврати физическото манипулиране с тях или повредите при транспортирането; транспортните опаковки не включват контейнери за шосеен, железопътен превоз, превоз по море и въздух.</w:t>
            </w:r>
          </w:p>
        </w:tc>
      </w:tr>
      <w:tr w:rsidR="00A72FD4" w:rsidRPr="00A72FD4" w14:paraId="25F5BE41" w14:textId="77777777" w:rsidTr="006B7F3D">
        <w:tc>
          <w:tcPr>
            <w:tcW w:w="2405" w:type="dxa"/>
            <w:shd w:val="clear" w:color="auto" w:fill="E7E6E6" w:themeFill="background2"/>
          </w:tcPr>
          <w:p w14:paraId="50E56C94" w14:textId="11D9C3F5" w:rsidR="004A459C" w:rsidRPr="00A72FD4" w:rsidRDefault="004A459C" w:rsidP="004A459C">
            <w:pPr>
              <w:spacing w:after="120" w:line="240" w:lineRule="auto"/>
              <w:rPr>
                <w:rFonts w:ascii="Times New Roman" w:eastAsia="Times New Roman" w:hAnsi="Times New Roman"/>
                <w:b/>
                <w:snapToGrid w:val="0"/>
                <w:color w:val="000000" w:themeColor="text1"/>
                <w:sz w:val="24"/>
                <w:szCs w:val="24"/>
              </w:rPr>
            </w:pPr>
            <w:r w:rsidRPr="00A72FD4">
              <w:rPr>
                <w:rFonts w:ascii="Times New Roman" w:eastAsia="Times New Roman" w:hAnsi="Times New Roman"/>
                <w:b/>
                <w:snapToGrid w:val="0"/>
                <w:color w:val="000000" w:themeColor="text1"/>
                <w:sz w:val="24"/>
                <w:szCs w:val="24"/>
              </w:rPr>
              <w:t>Опасни вещества</w:t>
            </w:r>
          </w:p>
        </w:tc>
        <w:tc>
          <w:tcPr>
            <w:tcW w:w="7371" w:type="dxa"/>
            <w:shd w:val="clear" w:color="auto" w:fill="F2F2F2" w:themeFill="background1" w:themeFillShade="F2"/>
          </w:tcPr>
          <w:p w14:paraId="0C8358E3" w14:textId="53321249" w:rsidR="004A459C" w:rsidRPr="00A72FD4" w:rsidRDefault="004A459C" w:rsidP="004A459C">
            <w:pPr>
              <w:spacing w:after="60" w:line="240" w:lineRule="auto"/>
              <w:jc w:val="both"/>
              <w:rPr>
                <w:rFonts w:ascii="Times New Roman" w:eastAsia="Times New Roman" w:hAnsi="Times New Roman"/>
                <w:snapToGrid w:val="0"/>
                <w:color w:val="000000" w:themeColor="text1"/>
                <w:sz w:val="24"/>
                <w:szCs w:val="24"/>
              </w:rPr>
            </w:pPr>
            <w:r w:rsidRPr="00A72FD4">
              <w:rPr>
                <w:rFonts w:ascii="Times New Roman" w:eastAsia="Times New Roman" w:hAnsi="Times New Roman"/>
                <w:snapToGrid w:val="0"/>
                <w:color w:val="000000" w:themeColor="text1"/>
                <w:sz w:val="24"/>
                <w:szCs w:val="24"/>
              </w:rPr>
              <w:t>Вещества, за които са изпълнени критериите по отношение на физичните опасности, опасностите за здравето или опасностите за околната среда, определени в части 2-5 от Приложение I на Регламент (ЕО) № 1272/2008 на Европейския парламент и на Съвета от 16 декември 2008 г. относно класифицирането, етикетирането и опаковането на вещества и смеси.</w:t>
            </w:r>
          </w:p>
        </w:tc>
      </w:tr>
      <w:tr w:rsidR="00A72FD4" w:rsidRPr="00A72FD4" w14:paraId="53B0EC9E" w14:textId="77777777" w:rsidTr="006B7F3D">
        <w:tc>
          <w:tcPr>
            <w:tcW w:w="2405" w:type="dxa"/>
            <w:shd w:val="clear" w:color="auto" w:fill="E7E6E6" w:themeFill="background2"/>
          </w:tcPr>
          <w:p w14:paraId="7BFF6709" w14:textId="40D46CE7" w:rsidR="004A459C" w:rsidRPr="00A72FD4" w:rsidRDefault="004A459C" w:rsidP="004A459C">
            <w:pPr>
              <w:spacing w:after="120" w:line="240" w:lineRule="auto"/>
              <w:rPr>
                <w:rFonts w:ascii="Times New Roman" w:eastAsia="Times New Roman" w:hAnsi="Times New Roman"/>
                <w:b/>
                <w:snapToGrid w:val="0"/>
                <w:color w:val="000000" w:themeColor="text1"/>
                <w:sz w:val="24"/>
                <w:szCs w:val="24"/>
              </w:rPr>
            </w:pPr>
            <w:r w:rsidRPr="00A72FD4">
              <w:rPr>
                <w:rFonts w:ascii="Times New Roman" w:eastAsia="Times New Roman" w:hAnsi="Times New Roman"/>
                <w:b/>
                <w:color w:val="000000" w:themeColor="text1"/>
                <w:sz w:val="24"/>
                <w:szCs w:val="24"/>
                <w:lang w:eastAsia="bg-BG"/>
              </w:rPr>
              <w:t>Отпадък</w:t>
            </w:r>
          </w:p>
        </w:tc>
        <w:tc>
          <w:tcPr>
            <w:tcW w:w="7371" w:type="dxa"/>
            <w:shd w:val="clear" w:color="auto" w:fill="F2F2F2" w:themeFill="background1" w:themeFillShade="F2"/>
          </w:tcPr>
          <w:p w14:paraId="1020C1A1" w14:textId="1A5589FB" w:rsidR="0049488F" w:rsidRPr="00A72FD4" w:rsidRDefault="004A459C" w:rsidP="0049488F">
            <w:pPr>
              <w:spacing w:after="60" w:line="240" w:lineRule="auto"/>
              <w:jc w:val="both"/>
              <w:rPr>
                <w:rFonts w:ascii="Times New Roman" w:eastAsia="Times New Roman" w:hAnsi="Times New Roman"/>
                <w:snapToGrid w:val="0"/>
                <w:color w:val="000000" w:themeColor="text1"/>
                <w:sz w:val="24"/>
                <w:szCs w:val="24"/>
              </w:rPr>
            </w:pPr>
            <w:r w:rsidRPr="00A72FD4">
              <w:rPr>
                <w:rFonts w:ascii="Times New Roman" w:eastAsia="Times New Roman" w:hAnsi="Times New Roman"/>
                <w:snapToGrid w:val="0"/>
                <w:color w:val="000000" w:themeColor="text1"/>
                <w:sz w:val="24"/>
                <w:szCs w:val="24"/>
              </w:rPr>
              <w:t>Всяко вещество или предмет, от който притежателят се освобождава или възнамерява да се освободи, или е длъжен да се освободи.</w:t>
            </w:r>
          </w:p>
        </w:tc>
      </w:tr>
      <w:tr w:rsidR="00AC004A" w:rsidRPr="00A72FD4" w14:paraId="650F9ABF" w14:textId="77777777" w:rsidTr="006B7F3D">
        <w:tc>
          <w:tcPr>
            <w:tcW w:w="2405" w:type="dxa"/>
            <w:shd w:val="clear" w:color="auto" w:fill="E7E6E6" w:themeFill="background2"/>
          </w:tcPr>
          <w:p w14:paraId="0C82D46F" w14:textId="136369F1" w:rsidR="00AC004A" w:rsidRPr="00A72FD4" w:rsidRDefault="00AC004A" w:rsidP="004A459C">
            <w:pPr>
              <w:spacing w:after="120" w:line="240" w:lineRule="auto"/>
              <w:rPr>
                <w:rFonts w:ascii="Times New Roman" w:eastAsia="Times New Roman" w:hAnsi="Times New Roman"/>
                <w:b/>
                <w:color w:val="000000" w:themeColor="text1"/>
                <w:sz w:val="24"/>
                <w:szCs w:val="24"/>
                <w:lang w:eastAsia="bg-BG"/>
              </w:rPr>
            </w:pPr>
            <w:r>
              <w:rPr>
                <w:rFonts w:ascii="Times New Roman" w:eastAsia="Times New Roman" w:hAnsi="Times New Roman"/>
                <w:b/>
                <w:color w:val="000000" w:themeColor="text1"/>
                <w:sz w:val="24"/>
                <w:szCs w:val="24"/>
                <w:lang w:eastAsia="bg-BG"/>
              </w:rPr>
              <w:t>Отпадъчни води</w:t>
            </w:r>
          </w:p>
        </w:tc>
        <w:tc>
          <w:tcPr>
            <w:tcW w:w="7371" w:type="dxa"/>
            <w:shd w:val="clear" w:color="auto" w:fill="F2F2F2" w:themeFill="background1" w:themeFillShade="F2"/>
          </w:tcPr>
          <w:p w14:paraId="121C5C5A" w14:textId="2D83448F" w:rsidR="00AC004A" w:rsidRPr="00A72FD4" w:rsidRDefault="00AC004A" w:rsidP="00503ED5">
            <w:pPr>
              <w:spacing w:after="60" w:line="240" w:lineRule="auto"/>
              <w:jc w:val="both"/>
              <w:rPr>
                <w:rFonts w:ascii="Times New Roman" w:eastAsia="Times New Roman" w:hAnsi="Times New Roman"/>
                <w:snapToGrid w:val="0"/>
                <w:color w:val="000000" w:themeColor="text1"/>
                <w:sz w:val="24"/>
                <w:szCs w:val="24"/>
              </w:rPr>
            </w:pPr>
            <w:r>
              <w:rPr>
                <w:rFonts w:ascii="Times New Roman" w:eastAsia="Times New Roman" w:hAnsi="Times New Roman"/>
                <w:snapToGrid w:val="0"/>
                <w:color w:val="000000" w:themeColor="text1"/>
                <w:sz w:val="24"/>
                <w:szCs w:val="24"/>
              </w:rPr>
              <w:t>За целите на процедурата „отпадъчни води</w:t>
            </w:r>
            <w:r w:rsidRPr="00AC004A">
              <w:rPr>
                <w:rFonts w:ascii="Times New Roman" w:eastAsia="Times New Roman" w:hAnsi="Times New Roman"/>
                <w:snapToGrid w:val="0"/>
                <w:color w:val="000000" w:themeColor="text1"/>
                <w:sz w:val="24"/>
                <w:szCs w:val="24"/>
              </w:rPr>
              <w:t>” са водите, замърсени от</w:t>
            </w:r>
            <w:r>
              <w:rPr>
                <w:rFonts w:ascii="Times New Roman" w:eastAsia="Times New Roman" w:hAnsi="Times New Roman"/>
                <w:snapToGrid w:val="0"/>
                <w:color w:val="000000" w:themeColor="text1"/>
                <w:sz w:val="24"/>
                <w:szCs w:val="24"/>
              </w:rPr>
              <w:t xml:space="preserve"> извършването на производствена и/или друг вид стопанска дейност. В обхвата на посоченото определение за „отпадъчни води</w:t>
            </w:r>
            <w:r w:rsidRPr="00AC004A">
              <w:rPr>
                <w:rFonts w:ascii="Times New Roman" w:eastAsia="Times New Roman" w:hAnsi="Times New Roman"/>
                <w:snapToGrid w:val="0"/>
                <w:color w:val="000000" w:themeColor="text1"/>
                <w:sz w:val="24"/>
                <w:szCs w:val="24"/>
              </w:rPr>
              <w:t>”</w:t>
            </w:r>
            <w:r>
              <w:rPr>
                <w:rFonts w:ascii="Times New Roman" w:eastAsia="Times New Roman" w:hAnsi="Times New Roman"/>
                <w:snapToGrid w:val="0"/>
                <w:color w:val="000000" w:themeColor="text1"/>
                <w:sz w:val="24"/>
                <w:szCs w:val="24"/>
              </w:rPr>
              <w:t>, възприето за целите на</w:t>
            </w:r>
            <w:r w:rsidRPr="00AC004A">
              <w:rPr>
                <w:rFonts w:ascii="Times New Roman" w:eastAsia="Times New Roman" w:hAnsi="Times New Roman"/>
                <w:snapToGrid w:val="0"/>
                <w:color w:val="000000" w:themeColor="text1"/>
                <w:sz w:val="24"/>
                <w:szCs w:val="24"/>
              </w:rPr>
              <w:t xml:space="preserve"> </w:t>
            </w:r>
            <w:r>
              <w:rPr>
                <w:rFonts w:ascii="Times New Roman" w:eastAsia="Times New Roman" w:hAnsi="Times New Roman"/>
                <w:snapToGrid w:val="0"/>
                <w:color w:val="000000" w:themeColor="text1"/>
                <w:sz w:val="24"/>
                <w:szCs w:val="24"/>
              </w:rPr>
              <w:t xml:space="preserve">процедурата, не попадат </w:t>
            </w:r>
            <w:r w:rsidRPr="00AC004A">
              <w:rPr>
                <w:rFonts w:ascii="Times New Roman" w:eastAsia="Times New Roman" w:hAnsi="Times New Roman"/>
                <w:snapToGrid w:val="0"/>
                <w:color w:val="000000" w:themeColor="text1"/>
                <w:sz w:val="24"/>
                <w:szCs w:val="24"/>
              </w:rPr>
              <w:t xml:space="preserve">водите, замърсени от извършването на </w:t>
            </w:r>
            <w:r>
              <w:rPr>
                <w:rFonts w:ascii="Times New Roman" w:eastAsia="Times New Roman" w:hAnsi="Times New Roman"/>
                <w:snapToGrid w:val="0"/>
                <w:color w:val="000000" w:themeColor="text1"/>
                <w:sz w:val="24"/>
                <w:szCs w:val="24"/>
              </w:rPr>
              <w:t xml:space="preserve">земеделска </w:t>
            </w:r>
            <w:r w:rsidRPr="00AC004A">
              <w:rPr>
                <w:rFonts w:ascii="Times New Roman" w:eastAsia="Times New Roman" w:hAnsi="Times New Roman"/>
                <w:snapToGrid w:val="0"/>
                <w:color w:val="000000" w:themeColor="text1"/>
                <w:sz w:val="24"/>
                <w:szCs w:val="24"/>
              </w:rPr>
              <w:t>и битова дейност, както и водите от канализационните системи на населените места, селищните и курортните образувания.</w:t>
            </w:r>
          </w:p>
        </w:tc>
      </w:tr>
      <w:tr w:rsidR="00A72FD4" w:rsidRPr="00A72FD4" w14:paraId="4C1F0DA9" w14:textId="77777777" w:rsidTr="006B7F3D">
        <w:tc>
          <w:tcPr>
            <w:tcW w:w="2405" w:type="dxa"/>
            <w:shd w:val="clear" w:color="auto" w:fill="E7E6E6" w:themeFill="background2"/>
          </w:tcPr>
          <w:p w14:paraId="5C58F036" w14:textId="22C96CF7" w:rsidR="004A459C" w:rsidRPr="00A72FD4" w:rsidRDefault="004A459C" w:rsidP="004A459C">
            <w:pPr>
              <w:spacing w:after="120" w:line="240" w:lineRule="auto"/>
              <w:rPr>
                <w:rFonts w:ascii="Times New Roman" w:eastAsia="Times New Roman" w:hAnsi="Times New Roman"/>
                <w:b/>
                <w:color w:val="000000" w:themeColor="text1"/>
                <w:sz w:val="24"/>
                <w:szCs w:val="24"/>
                <w:lang w:eastAsia="bg-BG"/>
              </w:rPr>
            </w:pPr>
            <w:r w:rsidRPr="00A72FD4">
              <w:rPr>
                <w:rFonts w:ascii="Times New Roman" w:eastAsia="Times New Roman" w:hAnsi="Times New Roman"/>
                <w:b/>
                <w:snapToGrid w:val="0"/>
                <w:color w:val="000000" w:themeColor="text1"/>
                <w:sz w:val="24"/>
                <w:szCs w:val="24"/>
              </w:rPr>
              <w:t>Пластмаса</w:t>
            </w:r>
          </w:p>
        </w:tc>
        <w:tc>
          <w:tcPr>
            <w:tcW w:w="7371" w:type="dxa"/>
            <w:shd w:val="clear" w:color="auto" w:fill="F2F2F2" w:themeFill="background1" w:themeFillShade="F2"/>
          </w:tcPr>
          <w:p w14:paraId="5B043982" w14:textId="2465F468" w:rsidR="004A459C" w:rsidRPr="00A72FD4" w:rsidRDefault="004A459C" w:rsidP="004A459C">
            <w:pPr>
              <w:spacing w:after="60" w:line="240" w:lineRule="auto"/>
              <w:jc w:val="both"/>
              <w:rPr>
                <w:rFonts w:ascii="Times New Roman" w:eastAsia="Times New Roman" w:hAnsi="Times New Roman"/>
                <w:snapToGrid w:val="0"/>
                <w:color w:val="000000" w:themeColor="text1"/>
                <w:sz w:val="24"/>
                <w:szCs w:val="24"/>
              </w:rPr>
            </w:pPr>
            <w:r w:rsidRPr="00A72FD4">
              <w:rPr>
                <w:rFonts w:ascii="Times New Roman" w:eastAsia="Times New Roman" w:hAnsi="Times New Roman"/>
                <w:snapToGrid w:val="0"/>
                <w:color w:val="000000" w:themeColor="text1"/>
                <w:sz w:val="24"/>
                <w:szCs w:val="24"/>
              </w:rPr>
              <w:t>Материал, състоящ се от полимер, към който може да са добавени адитиви или други вещества и който може да функционира като основен структурен компонент на крайни продукти, с изключение на естествените полимери, които не са били химически модифицирани.</w:t>
            </w:r>
          </w:p>
        </w:tc>
      </w:tr>
      <w:tr w:rsidR="00397527" w:rsidRPr="00397527" w14:paraId="7548977F" w14:textId="77777777" w:rsidTr="006B7F3D">
        <w:tc>
          <w:tcPr>
            <w:tcW w:w="2405" w:type="dxa"/>
            <w:shd w:val="clear" w:color="auto" w:fill="E7E6E6" w:themeFill="background2"/>
          </w:tcPr>
          <w:p w14:paraId="3F1DA172" w14:textId="765E07DB" w:rsidR="004A459C" w:rsidRPr="00397527" w:rsidRDefault="004A459C" w:rsidP="004A459C">
            <w:pPr>
              <w:spacing w:after="120" w:line="240" w:lineRule="auto"/>
              <w:rPr>
                <w:rFonts w:ascii="Times New Roman" w:eastAsia="Times New Roman" w:hAnsi="Times New Roman"/>
                <w:b/>
                <w:color w:val="000000" w:themeColor="text1"/>
                <w:sz w:val="24"/>
                <w:szCs w:val="24"/>
                <w:lang w:eastAsia="bg-BG"/>
              </w:rPr>
            </w:pPr>
            <w:r w:rsidRPr="00397527">
              <w:rPr>
                <w:rFonts w:ascii="Times New Roman" w:eastAsia="Times New Roman" w:hAnsi="Times New Roman"/>
                <w:b/>
                <w:snapToGrid w:val="0"/>
                <w:color w:val="000000" w:themeColor="text1"/>
                <w:sz w:val="24"/>
                <w:szCs w:val="24"/>
              </w:rPr>
              <w:t xml:space="preserve">Пластмасов продукт за </w:t>
            </w:r>
            <w:r w:rsidRPr="00397527">
              <w:rPr>
                <w:rFonts w:ascii="Times New Roman" w:eastAsia="Times New Roman" w:hAnsi="Times New Roman"/>
                <w:b/>
                <w:snapToGrid w:val="0"/>
                <w:color w:val="000000" w:themeColor="text1"/>
                <w:sz w:val="24"/>
                <w:szCs w:val="24"/>
              </w:rPr>
              <w:lastRenderedPageBreak/>
              <w:t>еднократна употреба</w:t>
            </w:r>
          </w:p>
        </w:tc>
        <w:tc>
          <w:tcPr>
            <w:tcW w:w="7371" w:type="dxa"/>
            <w:shd w:val="clear" w:color="auto" w:fill="F2F2F2" w:themeFill="background1" w:themeFillShade="F2"/>
          </w:tcPr>
          <w:p w14:paraId="6EC777B7" w14:textId="106040BE" w:rsidR="004A459C" w:rsidRPr="00397527" w:rsidRDefault="004A459C" w:rsidP="004A459C">
            <w:pPr>
              <w:spacing w:after="60" w:line="240" w:lineRule="auto"/>
              <w:jc w:val="both"/>
              <w:rPr>
                <w:rFonts w:ascii="Times New Roman" w:eastAsia="Times New Roman" w:hAnsi="Times New Roman"/>
                <w:snapToGrid w:val="0"/>
                <w:color w:val="000000" w:themeColor="text1"/>
                <w:sz w:val="24"/>
                <w:szCs w:val="24"/>
              </w:rPr>
            </w:pPr>
            <w:r w:rsidRPr="00397527">
              <w:rPr>
                <w:rFonts w:ascii="Times New Roman" w:eastAsia="Times New Roman" w:hAnsi="Times New Roman"/>
                <w:snapToGrid w:val="0"/>
                <w:color w:val="000000" w:themeColor="text1"/>
                <w:sz w:val="24"/>
                <w:szCs w:val="24"/>
              </w:rPr>
              <w:lastRenderedPageBreak/>
              <w:t xml:space="preserve">Продукт, който е направен изцяло или отчасти от пластмаса и не е замислен, проектиран или пуснат на пазара, за да направи в рамките на своя експлоатационен живот многократни цикли или обороти, като </w:t>
            </w:r>
            <w:r w:rsidRPr="00397527">
              <w:rPr>
                <w:rFonts w:ascii="Times New Roman" w:eastAsia="Times New Roman" w:hAnsi="Times New Roman"/>
                <w:snapToGrid w:val="0"/>
                <w:color w:val="000000" w:themeColor="text1"/>
                <w:sz w:val="24"/>
                <w:szCs w:val="24"/>
              </w:rPr>
              <w:lastRenderedPageBreak/>
              <w:t>се връща на производител за повторно пълнене или повторна употреба за същата цел, за която е бил замислен.</w:t>
            </w:r>
          </w:p>
        </w:tc>
      </w:tr>
      <w:tr w:rsidR="001F69C8" w:rsidRPr="001F69C8" w14:paraId="5CD7A440" w14:textId="77777777" w:rsidTr="006B7F3D">
        <w:tc>
          <w:tcPr>
            <w:tcW w:w="2405" w:type="dxa"/>
            <w:shd w:val="clear" w:color="auto" w:fill="E7E6E6" w:themeFill="background2"/>
          </w:tcPr>
          <w:p w14:paraId="3A08213C" w14:textId="7370E754" w:rsidR="004A459C" w:rsidRPr="001F69C8" w:rsidRDefault="004A459C" w:rsidP="004A459C">
            <w:pPr>
              <w:spacing w:after="120" w:line="240" w:lineRule="auto"/>
              <w:rPr>
                <w:rFonts w:ascii="Times New Roman" w:eastAsia="Times New Roman" w:hAnsi="Times New Roman"/>
                <w:b/>
                <w:color w:val="000000" w:themeColor="text1"/>
                <w:sz w:val="24"/>
                <w:szCs w:val="24"/>
                <w:lang w:eastAsia="bg-BG"/>
              </w:rPr>
            </w:pPr>
            <w:r w:rsidRPr="001F69C8">
              <w:rPr>
                <w:rFonts w:ascii="Times New Roman" w:eastAsia="Times New Roman" w:hAnsi="Times New Roman"/>
                <w:b/>
                <w:color w:val="000000" w:themeColor="text1"/>
                <w:sz w:val="24"/>
                <w:szCs w:val="24"/>
                <w:lang w:eastAsia="bg-BG"/>
              </w:rPr>
              <w:lastRenderedPageBreak/>
              <w:t>П</w:t>
            </w:r>
            <w:r w:rsidR="005779DA">
              <w:rPr>
                <w:rFonts w:ascii="Times New Roman" w:eastAsia="Times New Roman" w:hAnsi="Times New Roman"/>
                <w:b/>
                <w:color w:val="000000" w:themeColor="text1"/>
                <w:sz w:val="24"/>
                <w:szCs w:val="24"/>
                <w:lang w:eastAsia="bg-BG"/>
              </w:rPr>
              <w:t>одготовка за п</w:t>
            </w:r>
            <w:r w:rsidRPr="001F69C8">
              <w:rPr>
                <w:rFonts w:ascii="Times New Roman" w:eastAsia="Times New Roman" w:hAnsi="Times New Roman"/>
                <w:b/>
                <w:color w:val="000000" w:themeColor="text1"/>
                <w:sz w:val="24"/>
                <w:szCs w:val="24"/>
                <w:lang w:eastAsia="bg-BG"/>
              </w:rPr>
              <w:t>овторна употреба</w:t>
            </w:r>
          </w:p>
        </w:tc>
        <w:tc>
          <w:tcPr>
            <w:tcW w:w="7371" w:type="dxa"/>
            <w:shd w:val="clear" w:color="auto" w:fill="F2F2F2" w:themeFill="background1" w:themeFillShade="F2"/>
          </w:tcPr>
          <w:p w14:paraId="64EFC14D" w14:textId="36612B55" w:rsidR="004A459C" w:rsidRPr="001F69C8" w:rsidRDefault="005779DA" w:rsidP="005779DA">
            <w:pPr>
              <w:spacing w:after="60" w:line="240" w:lineRule="auto"/>
              <w:jc w:val="both"/>
              <w:rPr>
                <w:rFonts w:ascii="Times New Roman" w:eastAsia="Times New Roman" w:hAnsi="Times New Roman"/>
                <w:snapToGrid w:val="0"/>
                <w:color w:val="000000" w:themeColor="text1"/>
                <w:sz w:val="24"/>
                <w:szCs w:val="24"/>
              </w:rPr>
            </w:pPr>
            <w:r w:rsidRPr="005779DA">
              <w:rPr>
                <w:rFonts w:ascii="Times New Roman" w:eastAsia="Times New Roman" w:hAnsi="Times New Roman"/>
                <w:snapToGrid w:val="0"/>
                <w:color w:val="000000" w:themeColor="text1"/>
                <w:sz w:val="24"/>
                <w:szCs w:val="24"/>
              </w:rPr>
              <w:t>Подготовка за повторна употреба са дейностите по оползотворяване, представляващи проверка, почистване или ремонт, чрез които продуктите или компонентите на продукти, които са станали отпадък, се подготвят, за да могат да бъдат използвани повторно без каквато и да е друга предварителна обработка.</w:t>
            </w:r>
          </w:p>
        </w:tc>
      </w:tr>
      <w:tr w:rsidR="006726D9" w:rsidRPr="00F5314F" w14:paraId="2F52A53C" w14:textId="77777777" w:rsidTr="006B7F3D">
        <w:tc>
          <w:tcPr>
            <w:tcW w:w="2405" w:type="dxa"/>
            <w:shd w:val="clear" w:color="auto" w:fill="E6E6E6"/>
          </w:tcPr>
          <w:p w14:paraId="5C833A5B" w14:textId="77BBF346" w:rsidR="006726D9" w:rsidRPr="00F5314F" w:rsidRDefault="006726D9" w:rsidP="006726D9">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Показател за краен продукт</w:t>
            </w:r>
          </w:p>
        </w:tc>
        <w:tc>
          <w:tcPr>
            <w:tcW w:w="7371" w:type="dxa"/>
            <w:shd w:val="clear" w:color="auto" w:fill="F3F3F3"/>
          </w:tcPr>
          <w:p w14:paraId="31629DF6" w14:textId="7A2E10D7" w:rsidR="006726D9" w:rsidRPr="00F5314F" w:rsidRDefault="006726D9" w:rsidP="006726D9">
            <w:pPr>
              <w:spacing w:after="120" w:line="240" w:lineRule="auto"/>
              <w:jc w:val="both"/>
              <w:rPr>
                <w:rFonts w:ascii="Times New Roman" w:eastAsia="Times New Roman" w:hAnsi="Times New Roman"/>
                <w:snapToGrid w:val="0"/>
                <w:sz w:val="24"/>
                <w:szCs w:val="24"/>
              </w:rPr>
            </w:pPr>
            <w:r w:rsidRPr="00F5314F">
              <w:rPr>
                <w:rFonts w:ascii="Times New Roman" w:hAnsi="Times New Roman"/>
                <w:sz w:val="24"/>
                <w:szCs w:val="24"/>
              </w:rPr>
              <w:t>Показател за измерване на конкретните резултати от интервенцията/процедурата.</w:t>
            </w:r>
          </w:p>
        </w:tc>
      </w:tr>
      <w:tr w:rsidR="006726D9" w:rsidRPr="00F5314F" w14:paraId="279A8AF6" w14:textId="77777777" w:rsidTr="006B7F3D">
        <w:tc>
          <w:tcPr>
            <w:tcW w:w="2405" w:type="dxa"/>
            <w:shd w:val="clear" w:color="auto" w:fill="E6E6E6"/>
          </w:tcPr>
          <w:p w14:paraId="44FF75D3" w14:textId="7DC1D439" w:rsidR="006726D9" w:rsidRPr="00F5314F" w:rsidRDefault="006726D9" w:rsidP="006726D9">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Показател за резултат</w:t>
            </w:r>
          </w:p>
        </w:tc>
        <w:tc>
          <w:tcPr>
            <w:tcW w:w="7371" w:type="dxa"/>
            <w:shd w:val="clear" w:color="auto" w:fill="F3F3F3"/>
          </w:tcPr>
          <w:p w14:paraId="17580A94" w14:textId="1ECFFECE" w:rsidR="006726D9" w:rsidRPr="00F5314F" w:rsidRDefault="006726D9" w:rsidP="006726D9">
            <w:pPr>
              <w:spacing w:after="120" w:line="240" w:lineRule="auto"/>
              <w:jc w:val="both"/>
              <w:rPr>
                <w:rFonts w:ascii="Times New Roman" w:eastAsia="Times New Roman" w:hAnsi="Times New Roman"/>
                <w:snapToGrid w:val="0"/>
                <w:sz w:val="24"/>
                <w:szCs w:val="24"/>
              </w:rPr>
            </w:pPr>
            <w:r w:rsidRPr="00F5314F">
              <w:rPr>
                <w:rFonts w:ascii="Times New Roman" w:hAnsi="Times New Roman"/>
                <w:sz w:val="24"/>
                <w:szCs w:val="24"/>
              </w:rPr>
              <w:t>Показател за измерване на последиците от получилите подкрепа интервенции/проекти от гледна точка по-специално на преките адресати, целевата група от населението или ползвателите на инфраструктурата.</w:t>
            </w:r>
          </w:p>
        </w:tc>
      </w:tr>
      <w:tr w:rsidR="006726D9" w:rsidRPr="00F5314F" w14:paraId="563396F8" w14:textId="77777777" w:rsidTr="006B7F3D">
        <w:tc>
          <w:tcPr>
            <w:tcW w:w="2405" w:type="dxa"/>
            <w:shd w:val="clear" w:color="auto" w:fill="E6E6E6"/>
          </w:tcPr>
          <w:p w14:paraId="4229C320" w14:textId="77777777" w:rsidR="006726D9" w:rsidRPr="00F5314F" w:rsidRDefault="006726D9" w:rsidP="006726D9">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Предприятие</w:t>
            </w:r>
          </w:p>
        </w:tc>
        <w:tc>
          <w:tcPr>
            <w:tcW w:w="7371" w:type="dxa"/>
            <w:shd w:val="clear" w:color="auto" w:fill="F3F3F3"/>
          </w:tcPr>
          <w:p w14:paraId="572F8CA6" w14:textId="77777777" w:rsidR="006726D9" w:rsidRPr="00F5314F" w:rsidRDefault="006726D9" w:rsidP="006726D9">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 1, т. 1 от Допълнителните разпоредби на Закона за малките и средни предприятия, „предприятие” е всяко физическо лице, юридическо лице или гражданско дружество, което извършва стопанска дейност, независимо от собствеността, правната и организационната си форма.</w:t>
            </w:r>
          </w:p>
        </w:tc>
      </w:tr>
      <w:tr w:rsidR="006726D9" w:rsidRPr="00F5314F" w14:paraId="084A57F9" w14:textId="77777777" w:rsidTr="006B7F3D">
        <w:tc>
          <w:tcPr>
            <w:tcW w:w="2405" w:type="dxa"/>
            <w:shd w:val="clear" w:color="auto" w:fill="E6E6E6"/>
          </w:tcPr>
          <w:p w14:paraId="143379B2" w14:textId="77777777" w:rsidR="006726D9" w:rsidRPr="00F5314F" w:rsidRDefault="006726D9" w:rsidP="006726D9">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Предприятие в затруднено положение</w:t>
            </w:r>
          </w:p>
        </w:tc>
        <w:tc>
          <w:tcPr>
            <w:tcW w:w="7371" w:type="dxa"/>
            <w:shd w:val="clear" w:color="auto" w:fill="F3F3F3"/>
          </w:tcPr>
          <w:p w14:paraId="15D04DBA" w14:textId="15DC37F7" w:rsidR="006726D9" w:rsidRPr="00F5314F" w:rsidRDefault="006726D9" w:rsidP="006726D9">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чл. 2, пар. 18 от Регламент (ЕО) № 651/2014</w:t>
            </w:r>
            <w:r w:rsidRPr="00F5314F">
              <w:rPr>
                <w:rFonts w:ascii="Times New Roman" w:hAnsi="Times New Roman"/>
                <w:sz w:val="24"/>
                <w:szCs w:val="24"/>
              </w:rPr>
              <w:t xml:space="preserve"> </w:t>
            </w:r>
            <w:r w:rsidRPr="00F5314F">
              <w:rPr>
                <w:rFonts w:ascii="Times New Roman" w:eastAsia="Times New Roman" w:hAnsi="Times New Roman"/>
                <w:snapToGrid w:val="0"/>
                <w:sz w:val="24"/>
                <w:szCs w:val="24"/>
              </w:rPr>
              <w:t>предприятие в затруднено положение е предприятие, по отношение на което е изпълнено поне едно от следните обстоятелства:</w:t>
            </w:r>
          </w:p>
          <w:p w14:paraId="7342848D" w14:textId="0450D5A7" w:rsidR="006726D9" w:rsidRPr="00F5314F" w:rsidRDefault="006726D9" w:rsidP="006726D9">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а)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(което не е МСП, което съществува по-малко от три години 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и правен анализ),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За целите на настоящата разпоредба под понятието „дру</w:t>
            </w:r>
            <w:r w:rsidR="003525F3">
              <w:rPr>
                <w:rFonts w:ascii="Times New Roman" w:eastAsia="Times New Roman" w:hAnsi="Times New Roman"/>
                <w:snapToGrid w:val="0"/>
                <w:sz w:val="24"/>
                <w:szCs w:val="24"/>
              </w:rPr>
              <w:t>жество с ограничена отговорност</w:t>
            </w:r>
            <w:r w:rsidR="003525F3" w:rsidRPr="003525F3">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се разбира по-специално видовете дружества, посочени в приложение I към Директива 2013/34/ЕС, </w:t>
            </w:r>
            <w:r w:rsidR="003525F3">
              <w:rPr>
                <w:rFonts w:ascii="Times New Roman" w:eastAsia="Times New Roman" w:hAnsi="Times New Roman"/>
                <w:snapToGrid w:val="0"/>
                <w:sz w:val="24"/>
                <w:szCs w:val="24"/>
              </w:rPr>
              <w:t>а понятието „акционерен капитал</w:t>
            </w:r>
            <w:r w:rsidR="003525F3" w:rsidRPr="003525F3">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включва, когато е уместно, премии от акции;</w:t>
            </w:r>
          </w:p>
          <w:p w14:paraId="59E406F6" w14:textId="3A989B11" w:rsidR="006726D9" w:rsidRPr="00F5314F" w:rsidRDefault="006726D9" w:rsidP="006726D9">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б) в случай на събирателно дружество, командитно дружество или едноличен търговец или други лица по Приложение II към Директива 2013/34/ЕС (което не е МСП, което съществува по-малко от три години 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е </w:t>
            </w:r>
            <w:r w:rsidRPr="00F5314F">
              <w:rPr>
                <w:rFonts w:ascii="Times New Roman" w:eastAsia="Times New Roman" w:hAnsi="Times New Roman"/>
                <w:snapToGrid w:val="0"/>
                <w:sz w:val="24"/>
                <w:szCs w:val="24"/>
              </w:rPr>
              <w:lastRenderedPageBreak/>
              <w:t>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w:t>
            </w:r>
            <w:r w:rsidR="00FA12AF">
              <w:rPr>
                <w:rFonts w:ascii="Times New Roman" w:eastAsia="Times New Roman" w:hAnsi="Times New Roman"/>
                <w:snapToGrid w:val="0"/>
                <w:sz w:val="24"/>
                <w:szCs w:val="24"/>
              </w:rPr>
              <w:t xml:space="preserve"> за задълженията на дружеството</w:t>
            </w:r>
            <w:r w:rsidR="00FA12AF" w:rsidRPr="00FA12AF">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се разбира по-специално типовете дружества, посочени в приложение II към Директива 2013/34/ЕС;</w:t>
            </w:r>
          </w:p>
          <w:p w14:paraId="1BEC0162" w14:textId="77777777" w:rsidR="006726D9" w:rsidRPr="00F5314F" w:rsidRDefault="006726D9" w:rsidP="006726D9">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4A7F14B6" w14:textId="46B29093" w:rsidR="006726D9" w:rsidRPr="00F5314F" w:rsidRDefault="006726D9" w:rsidP="003644DF">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r w:rsidR="003644DF">
              <w:rPr>
                <w:rFonts w:ascii="Times New Roman" w:eastAsia="Times New Roman" w:hAnsi="Times New Roman"/>
                <w:snapToGrid w:val="0"/>
                <w:sz w:val="24"/>
                <w:szCs w:val="24"/>
              </w:rPr>
              <w:t>.</w:t>
            </w:r>
          </w:p>
        </w:tc>
      </w:tr>
      <w:tr w:rsidR="006726D9" w:rsidRPr="00F5314F" w14:paraId="6CF576F1" w14:textId="77777777" w:rsidTr="006B7F3D">
        <w:tc>
          <w:tcPr>
            <w:tcW w:w="2405" w:type="dxa"/>
            <w:shd w:val="clear" w:color="auto" w:fill="E6E6E6"/>
          </w:tcPr>
          <w:p w14:paraId="271D945F" w14:textId="77777777" w:rsidR="006726D9" w:rsidRPr="00F5314F" w:rsidRDefault="006726D9" w:rsidP="006726D9">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Преместване</w:t>
            </w:r>
          </w:p>
        </w:tc>
        <w:tc>
          <w:tcPr>
            <w:tcW w:w="7371" w:type="dxa"/>
            <w:shd w:val="clear" w:color="auto" w:fill="F3F3F3"/>
          </w:tcPr>
          <w:p w14:paraId="34D1BABB" w14:textId="1433B550" w:rsidR="006726D9" w:rsidRPr="00F5314F" w:rsidRDefault="006726D9" w:rsidP="006726D9">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чл. 2, пар. 61а от Регламен</w:t>
            </w:r>
            <w:r w:rsidR="00FA12AF">
              <w:rPr>
                <w:rFonts w:ascii="Times New Roman" w:eastAsia="Times New Roman" w:hAnsi="Times New Roman"/>
                <w:snapToGrid w:val="0"/>
                <w:sz w:val="24"/>
                <w:szCs w:val="24"/>
              </w:rPr>
              <w:t>т (ЕС) № 651/2014, „преместване</w:t>
            </w:r>
            <w:r w:rsidR="00FA12AF" w:rsidRPr="00FA12AF">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означава прехвърлянето на същата или подобна дейност или част от нея от предприятие в една от договарящите страни по Споразумението за Европейското икономическо пространство (първоначално предприятие) към предприятието, в което се извършват подпомаганите инвестиции, на територията на друга договаряща страна по Споразумението за Европейското икономическо пространство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бенефициента в Европейското икономическо пространство.</w:t>
            </w:r>
          </w:p>
        </w:tc>
      </w:tr>
      <w:tr w:rsidR="006726D9" w:rsidRPr="00F5314F" w14:paraId="11B148F3" w14:textId="77777777" w:rsidTr="006B7F3D">
        <w:tc>
          <w:tcPr>
            <w:tcW w:w="2405" w:type="dxa"/>
            <w:shd w:val="clear" w:color="auto" w:fill="E6E6E6"/>
          </w:tcPr>
          <w:p w14:paraId="2C089AAE" w14:textId="308D091C" w:rsidR="006726D9" w:rsidRPr="00F5314F" w:rsidRDefault="006726D9" w:rsidP="006726D9">
            <w:pPr>
              <w:spacing w:after="120" w:line="240" w:lineRule="auto"/>
              <w:rPr>
                <w:rFonts w:ascii="Times New Roman" w:eastAsia="Times New Roman" w:hAnsi="Times New Roman"/>
                <w:b/>
                <w:snapToGrid w:val="0"/>
                <w:sz w:val="24"/>
                <w:szCs w:val="24"/>
              </w:rPr>
            </w:pPr>
            <w:r w:rsidRPr="008F22E8">
              <w:rPr>
                <w:rFonts w:ascii="Times New Roman" w:eastAsia="Times New Roman" w:hAnsi="Times New Roman"/>
                <w:b/>
                <w:snapToGrid w:val="0"/>
                <w:sz w:val="24"/>
                <w:szCs w:val="24"/>
              </w:rPr>
              <w:t>Преработка и предлагане на пазара на продукти от риболов и аквакултури</w:t>
            </w:r>
          </w:p>
        </w:tc>
        <w:tc>
          <w:tcPr>
            <w:tcW w:w="7371" w:type="dxa"/>
            <w:shd w:val="clear" w:color="auto" w:fill="F3F3F3"/>
          </w:tcPr>
          <w:p w14:paraId="6122DE26" w14:textId="2DA33417" w:rsidR="006726D9" w:rsidRPr="00F5314F" w:rsidRDefault="006726D9" w:rsidP="006726D9">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Съгласно чл. 2, пар. 1, буква ж</w:t>
            </w:r>
            <w:r w:rsidRPr="00394EDC">
              <w:rPr>
                <w:rFonts w:ascii="Times New Roman" w:eastAsia="Times New Roman" w:hAnsi="Times New Roman"/>
                <w:snapToGrid w:val="0"/>
                <w:sz w:val="24"/>
                <w:szCs w:val="24"/>
              </w:rPr>
              <w:t>) от Регламент (ЕС) № 2023/2831</w:t>
            </w:r>
            <w:r>
              <w:rPr>
                <w:rFonts w:ascii="Times New Roman" w:eastAsia="Times New Roman" w:hAnsi="Times New Roman"/>
                <w:snapToGrid w:val="0"/>
                <w:sz w:val="24"/>
                <w:szCs w:val="24"/>
              </w:rPr>
              <w:t xml:space="preserve"> „п</w:t>
            </w:r>
            <w:r w:rsidRPr="00394EDC">
              <w:rPr>
                <w:rFonts w:ascii="Times New Roman" w:eastAsia="Times New Roman" w:hAnsi="Times New Roman"/>
                <w:snapToGrid w:val="0"/>
                <w:sz w:val="24"/>
                <w:szCs w:val="24"/>
              </w:rPr>
              <w:t>реработка и предлагане на пазара на продукти от риболов и аквакултури</w:t>
            </w:r>
            <w:r w:rsidRPr="00222535">
              <w:rPr>
                <w:rFonts w:ascii="Times New Roman" w:eastAsia="Times New Roman" w:hAnsi="Times New Roman"/>
                <w:snapToGrid w:val="0"/>
                <w:sz w:val="24"/>
                <w:szCs w:val="24"/>
              </w:rPr>
              <w:t>”</w:t>
            </w:r>
            <w:r>
              <w:rPr>
                <w:rFonts w:ascii="Times New Roman" w:eastAsia="Times New Roman" w:hAnsi="Times New Roman"/>
                <w:snapToGrid w:val="0"/>
                <w:sz w:val="24"/>
                <w:szCs w:val="24"/>
              </w:rPr>
              <w:t xml:space="preserve"> </w:t>
            </w:r>
            <w:r w:rsidRPr="00394EDC">
              <w:rPr>
                <w:rFonts w:ascii="Times New Roman" w:eastAsia="Times New Roman" w:hAnsi="Times New Roman"/>
                <w:snapToGrid w:val="0"/>
                <w:sz w:val="24"/>
                <w:szCs w:val="24"/>
              </w:rPr>
              <w:t>означава всички операции, включително манипулация, обработка и преобразуване, извършвани след момента на разтоварване на брега или събиране в случай на аквакултури, които водят до получаването на преработен продукт, както и до разпространението му</w:t>
            </w:r>
            <w:r>
              <w:rPr>
                <w:rFonts w:ascii="Times New Roman" w:eastAsia="Times New Roman" w:hAnsi="Times New Roman"/>
                <w:snapToGrid w:val="0"/>
                <w:sz w:val="24"/>
                <w:szCs w:val="24"/>
              </w:rPr>
              <w:t>.</w:t>
            </w:r>
          </w:p>
        </w:tc>
      </w:tr>
      <w:tr w:rsidR="006726D9" w:rsidRPr="00F5314F" w14:paraId="29A1A255" w14:textId="77777777" w:rsidTr="006B7F3D">
        <w:tc>
          <w:tcPr>
            <w:tcW w:w="2405" w:type="dxa"/>
            <w:shd w:val="clear" w:color="auto" w:fill="E6E6E6"/>
          </w:tcPr>
          <w:p w14:paraId="1FE0E1AE" w14:textId="77777777" w:rsidR="006726D9" w:rsidRPr="00F5314F" w:rsidRDefault="006726D9" w:rsidP="006726D9">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Преработка на селскостопански продукти</w:t>
            </w:r>
          </w:p>
        </w:tc>
        <w:tc>
          <w:tcPr>
            <w:tcW w:w="7371" w:type="dxa"/>
            <w:shd w:val="clear" w:color="auto" w:fill="F3F3F3"/>
          </w:tcPr>
          <w:p w14:paraId="113E99DE" w14:textId="19914478" w:rsidR="006726D9" w:rsidRPr="00F5314F" w:rsidRDefault="006726D9" w:rsidP="006726D9">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чл. 2, пар. 10 от Регламент (ЕО) № 651/2014</w:t>
            </w:r>
            <w:r w:rsidRPr="00F5314F">
              <w:rPr>
                <w:rFonts w:ascii="Times New Roman" w:hAnsi="Times New Roman"/>
                <w:sz w:val="24"/>
                <w:szCs w:val="24"/>
              </w:rPr>
              <w:t xml:space="preserve"> и </w:t>
            </w:r>
            <w:r w:rsidRPr="00F5314F">
              <w:rPr>
                <w:rFonts w:ascii="Times New Roman" w:eastAsia="Times New Roman" w:hAnsi="Times New Roman"/>
                <w:snapToGrid w:val="0"/>
                <w:sz w:val="24"/>
                <w:szCs w:val="24"/>
              </w:rPr>
              <w:t xml:space="preserve">чл. 2, пар. 1, буква </w:t>
            </w:r>
            <w:r>
              <w:rPr>
                <w:rFonts w:ascii="Times New Roman" w:eastAsia="Times New Roman" w:hAnsi="Times New Roman"/>
                <w:snapToGrid w:val="0"/>
                <w:sz w:val="24"/>
                <w:szCs w:val="24"/>
              </w:rPr>
              <w:t>в</w:t>
            </w:r>
            <w:r w:rsidRPr="00F5314F">
              <w:rPr>
                <w:rFonts w:ascii="Times New Roman" w:eastAsia="Times New Roman" w:hAnsi="Times New Roman"/>
                <w:snapToGrid w:val="0"/>
                <w:sz w:val="24"/>
                <w:szCs w:val="24"/>
              </w:rPr>
              <w:t xml:space="preserve">) от Регламент (ЕО) № </w:t>
            </w:r>
            <w:r w:rsidRPr="00F80849">
              <w:rPr>
                <w:rFonts w:ascii="Times New Roman" w:eastAsia="Times New Roman" w:hAnsi="Times New Roman"/>
                <w:snapToGrid w:val="0"/>
                <w:sz w:val="24"/>
                <w:szCs w:val="24"/>
              </w:rPr>
              <w:t>2023/2831</w:t>
            </w:r>
            <w:r w:rsidRPr="00F5314F">
              <w:rPr>
                <w:rFonts w:ascii="Times New Roman" w:eastAsia="Times New Roman" w:hAnsi="Times New Roman"/>
                <w:snapToGrid w:val="0"/>
                <w:sz w:val="24"/>
                <w:szCs w:val="24"/>
              </w:rPr>
              <w:t>,</w:t>
            </w:r>
            <w:r w:rsidRPr="00F5314F">
              <w:rPr>
                <w:rFonts w:ascii="Times New Roman" w:hAnsi="Times New Roman"/>
                <w:sz w:val="24"/>
                <w:szCs w:val="24"/>
              </w:rPr>
              <w:t xml:space="preserve"> </w:t>
            </w:r>
            <w:r w:rsidRPr="00F5314F">
              <w:rPr>
                <w:rFonts w:ascii="Times New Roman" w:eastAsia="Times New Roman" w:hAnsi="Times New Roman"/>
                <w:snapToGrid w:val="0"/>
                <w:sz w:val="24"/>
                <w:szCs w:val="24"/>
              </w:rPr>
              <w:t>това е</w:t>
            </w:r>
            <w:r w:rsidRPr="00F5314F">
              <w:rPr>
                <w:rFonts w:ascii="Times New Roman" w:hAnsi="Times New Roman"/>
                <w:sz w:val="24"/>
                <w:szCs w:val="24"/>
              </w:rPr>
              <w:t xml:space="preserve"> </w:t>
            </w:r>
            <w:r w:rsidRPr="00F5314F">
              <w:rPr>
                <w:rFonts w:ascii="Times New Roman" w:eastAsia="Times New Roman" w:hAnsi="Times New Roman"/>
                <w:snapToGrid w:val="0"/>
                <w:sz w:val="24"/>
                <w:szCs w:val="24"/>
              </w:rPr>
              <w:t>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които са необходими за подготовката на животински или растителен продукт за първата му продажба.</w:t>
            </w:r>
          </w:p>
        </w:tc>
      </w:tr>
      <w:tr w:rsidR="006726D9" w:rsidRPr="00F5314F" w14:paraId="5352A69B" w14:textId="77777777" w:rsidTr="006B7F3D">
        <w:tc>
          <w:tcPr>
            <w:tcW w:w="2405" w:type="dxa"/>
            <w:shd w:val="clear" w:color="auto" w:fill="E6E6E6"/>
          </w:tcPr>
          <w:p w14:paraId="38DD51B3" w14:textId="77777777" w:rsidR="006726D9" w:rsidRPr="00F5314F" w:rsidRDefault="006726D9" w:rsidP="006726D9">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Проект</w:t>
            </w:r>
          </w:p>
        </w:tc>
        <w:tc>
          <w:tcPr>
            <w:tcW w:w="7371" w:type="dxa"/>
            <w:shd w:val="clear" w:color="auto" w:fill="F3F3F3"/>
          </w:tcPr>
          <w:p w14:paraId="1D940A0F" w14:textId="77777777" w:rsidR="006726D9" w:rsidRPr="00F5314F" w:rsidRDefault="006726D9" w:rsidP="006726D9">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Съвкупност от взаимосвързани и взаимодопълващи се дейности с предварително определена/и цел/и, необходими ресурси и времева рамка за изпълнение, водещи до постигането на конкретни количествено-измерими резултати.</w:t>
            </w:r>
          </w:p>
        </w:tc>
      </w:tr>
      <w:tr w:rsidR="006726D9" w:rsidRPr="00F5314F" w14:paraId="60D43C15" w14:textId="77777777" w:rsidTr="006B7F3D">
        <w:tc>
          <w:tcPr>
            <w:tcW w:w="2405" w:type="dxa"/>
            <w:shd w:val="clear" w:color="auto" w:fill="E6E6E6"/>
          </w:tcPr>
          <w:p w14:paraId="24CE7B40" w14:textId="77777777" w:rsidR="006726D9" w:rsidRPr="00F5314F" w:rsidRDefault="006726D9" w:rsidP="006726D9">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 xml:space="preserve">Проектно предложение </w:t>
            </w:r>
          </w:p>
        </w:tc>
        <w:tc>
          <w:tcPr>
            <w:tcW w:w="7371" w:type="dxa"/>
            <w:shd w:val="clear" w:color="auto" w:fill="F3F3F3"/>
          </w:tcPr>
          <w:p w14:paraId="205B1228" w14:textId="77777777" w:rsidR="006726D9" w:rsidRPr="00F5314F" w:rsidRDefault="006726D9" w:rsidP="006726D9">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Предложение, подадено от кандидат, за предоставяне на безвъзмездна финансова помощ за изпълнението на определен проект, включващо формуляр за кандидатстване и други придружителни документи.</w:t>
            </w:r>
          </w:p>
        </w:tc>
      </w:tr>
      <w:tr w:rsidR="005121DD" w:rsidRPr="00F5314F" w14:paraId="66B41A60" w14:textId="77777777" w:rsidTr="006B7F3D">
        <w:tc>
          <w:tcPr>
            <w:tcW w:w="2405" w:type="dxa"/>
            <w:shd w:val="clear" w:color="auto" w:fill="E6E6E6"/>
          </w:tcPr>
          <w:p w14:paraId="0B7DEFBE" w14:textId="592F58CC" w:rsidR="005121DD" w:rsidRPr="00F5314F" w:rsidRDefault="005121DD" w:rsidP="005121DD">
            <w:pPr>
              <w:spacing w:after="120" w:line="240" w:lineRule="auto"/>
              <w:rPr>
                <w:rFonts w:ascii="Times New Roman" w:eastAsia="Times New Roman" w:hAnsi="Times New Roman"/>
                <w:b/>
                <w:snapToGrid w:val="0"/>
                <w:sz w:val="24"/>
                <w:szCs w:val="24"/>
              </w:rPr>
            </w:pPr>
            <w:r w:rsidRPr="00397527">
              <w:rPr>
                <w:rFonts w:ascii="Times New Roman" w:eastAsia="Times New Roman" w:hAnsi="Times New Roman"/>
                <w:b/>
                <w:snapToGrid w:val="0"/>
                <w:color w:val="000000" w:themeColor="text1"/>
                <w:sz w:val="24"/>
                <w:szCs w:val="24"/>
              </w:rPr>
              <w:t>Продукти и опаковки за многократна употреба</w:t>
            </w:r>
          </w:p>
        </w:tc>
        <w:tc>
          <w:tcPr>
            <w:tcW w:w="7371" w:type="dxa"/>
            <w:shd w:val="clear" w:color="auto" w:fill="F3F3F3"/>
          </w:tcPr>
          <w:p w14:paraId="79630497" w14:textId="086E6527" w:rsidR="005121DD" w:rsidRPr="00F5314F" w:rsidRDefault="005121DD" w:rsidP="005121DD">
            <w:pPr>
              <w:spacing w:after="120" w:line="240" w:lineRule="auto"/>
              <w:jc w:val="both"/>
              <w:rPr>
                <w:rFonts w:ascii="Times New Roman" w:eastAsia="Times New Roman" w:hAnsi="Times New Roman"/>
                <w:snapToGrid w:val="0"/>
                <w:sz w:val="24"/>
                <w:szCs w:val="24"/>
              </w:rPr>
            </w:pPr>
            <w:r w:rsidRPr="00397527">
              <w:rPr>
                <w:rFonts w:ascii="Times New Roman" w:eastAsia="Times New Roman" w:hAnsi="Times New Roman"/>
                <w:snapToGrid w:val="0"/>
                <w:color w:val="000000" w:themeColor="text1"/>
                <w:sz w:val="24"/>
                <w:szCs w:val="24"/>
              </w:rPr>
              <w:t>За целите на настоящата процедура опаковките и продуктите за многократна употреба включват опаковки и продукти, създадени, проектирани и пуснати на пазара с цел да претърпят в рамките на своя жизнен цикъл многократен брой използвания или ротации чрез презареждане или като се използват за същата цел, за която са били създадени.</w:t>
            </w:r>
          </w:p>
        </w:tc>
      </w:tr>
      <w:tr w:rsidR="005121DD" w:rsidRPr="00F5314F" w14:paraId="06C4B80B" w14:textId="77777777" w:rsidTr="006B7F3D">
        <w:tc>
          <w:tcPr>
            <w:tcW w:w="2405" w:type="dxa"/>
            <w:shd w:val="clear" w:color="auto" w:fill="E6E6E6"/>
          </w:tcPr>
          <w:p w14:paraId="074B4B2A" w14:textId="400EB56C" w:rsidR="005121DD" w:rsidRPr="00397527" w:rsidRDefault="005121DD" w:rsidP="005121DD">
            <w:pPr>
              <w:spacing w:after="120" w:line="240" w:lineRule="auto"/>
              <w:rPr>
                <w:rFonts w:ascii="Times New Roman" w:eastAsia="Times New Roman" w:hAnsi="Times New Roman"/>
                <w:b/>
                <w:snapToGrid w:val="0"/>
                <w:color w:val="000000" w:themeColor="text1"/>
                <w:sz w:val="24"/>
                <w:szCs w:val="24"/>
              </w:rPr>
            </w:pPr>
            <w:r>
              <w:rPr>
                <w:rFonts w:ascii="Times New Roman" w:eastAsia="Times New Roman" w:hAnsi="Times New Roman"/>
                <w:b/>
                <w:snapToGrid w:val="0"/>
                <w:sz w:val="24"/>
                <w:szCs w:val="24"/>
              </w:rPr>
              <w:t>„Продукт като услуга</w:t>
            </w:r>
            <w:r>
              <w:rPr>
                <w:rFonts w:ascii="Times New Roman" w:eastAsia="Times New Roman" w:hAnsi="Times New Roman"/>
                <w:b/>
                <w:snapToGrid w:val="0"/>
                <w:sz w:val="24"/>
                <w:szCs w:val="24"/>
                <w:lang w:val="en-US"/>
              </w:rPr>
              <w:t>”</w:t>
            </w:r>
            <w:r w:rsidRPr="00526568">
              <w:rPr>
                <w:rFonts w:ascii="Times New Roman" w:eastAsia="Times New Roman" w:hAnsi="Times New Roman"/>
                <w:b/>
                <w:snapToGrid w:val="0"/>
                <w:sz w:val="24"/>
                <w:szCs w:val="24"/>
              </w:rPr>
              <w:t xml:space="preserve"> </w:t>
            </w:r>
            <w:r w:rsidRPr="00FA12AF">
              <w:rPr>
                <w:rFonts w:ascii="Times New Roman" w:eastAsia="Times New Roman" w:hAnsi="Times New Roman"/>
                <w:snapToGrid w:val="0"/>
                <w:sz w:val="24"/>
                <w:szCs w:val="24"/>
              </w:rPr>
              <w:t>(Product-as-a-Service, PaaS)</w:t>
            </w:r>
          </w:p>
        </w:tc>
        <w:tc>
          <w:tcPr>
            <w:tcW w:w="7371" w:type="dxa"/>
            <w:shd w:val="clear" w:color="auto" w:fill="F3F3F3"/>
          </w:tcPr>
          <w:p w14:paraId="6E8F33D7" w14:textId="0F52B998" w:rsidR="005121DD" w:rsidRPr="00397527" w:rsidRDefault="005121DD" w:rsidP="005121DD">
            <w:pPr>
              <w:spacing w:after="120" w:line="240" w:lineRule="auto"/>
              <w:jc w:val="both"/>
              <w:rPr>
                <w:rFonts w:ascii="Times New Roman" w:eastAsia="Times New Roman" w:hAnsi="Times New Roman"/>
                <w:snapToGrid w:val="0"/>
                <w:color w:val="000000" w:themeColor="text1"/>
                <w:sz w:val="24"/>
                <w:szCs w:val="24"/>
              </w:rPr>
            </w:pPr>
            <w:r>
              <w:rPr>
                <w:rFonts w:ascii="Times New Roman" w:eastAsia="Times New Roman" w:hAnsi="Times New Roman"/>
                <w:snapToGrid w:val="0"/>
                <w:sz w:val="24"/>
                <w:szCs w:val="24"/>
              </w:rPr>
              <w:t>М</w:t>
            </w:r>
            <w:r w:rsidRPr="00526568">
              <w:rPr>
                <w:rFonts w:ascii="Times New Roman" w:eastAsia="Times New Roman" w:hAnsi="Times New Roman"/>
                <w:snapToGrid w:val="0"/>
                <w:sz w:val="24"/>
                <w:szCs w:val="24"/>
              </w:rPr>
              <w:t>одел, при който собствеността върху пр</w:t>
            </w:r>
            <w:r>
              <w:rPr>
                <w:rFonts w:ascii="Times New Roman" w:eastAsia="Times New Roman" w:hAnsi="Times New Roman"/>
                <w:snapToGrid w:val="0"/>
                <w:sz w:val="24"/>
                <w:szCs w:val="24"/>
              </w:rPr>
              <w:t>одукта/ите остава при производителя/доставчика, потребителят</w:t>
            </w:r>
            <w:r w:rsidRPr="00526568">
              <w:rPr>
                <w:rFonts w:ascii="Times New Roman" w:eastAsia="Times New Roman" w:hAnsi="Times New Roman"/>
                <w:snapToGrid w:val="0"/>
                <w:sz w:val="24"/>
                <w:szCs w:val="24"/>
              </w:rPr>
              <w:t xml:space="preserve"> не го закупува, а заплаща за неговото използване или за </w:t>
            </w:r>
            <w:r>
              <w:rPr>
                <w:rFonts w:ascii="Times New Roman" w:eastAsia="Times New Roman" w:hAnsi="Times New Roman"/>
                <w:snapToGrid w:val="0"/>
                <w:sz w:val="24"/>
                <w:szCs w:val="24"/>
              </w:rPr>
              <w:t xml:space="preserve">ползването на резултата от продукта/ите – напр. чрез </w:t>
            </w:r>
            <w:r w:rsidRPr="00526568">
              <w:rPr>
                <w:rFonts w:ascii="Times New Roman" w:eastAsia="Times New Roman" w:hAnsi="Times New Roman"/>
                <w:snapToGrid w:val="0"/>
                <w:sz w:val="24"/>
                <w:szCs w:val="24"/>
              </w:rPr>
              <w:t xml:space="preserve">заплащане според потреблението. Моделът </w:t>
            </w:r>
            <w:r>
              <w:rPr>
                <w:rFonts w:ascii="Times New Roman" w:eastAsia="Times New Roman" w:hAnsi="Times New Roman"/>
                <w:snapToGrid w:val="0"/>
                <w:sz w:val="24"/>
                <w:szCs w:val="24"/>
              </w:rPr>
              <w:t>осигурява</w:t>
            </w:r>
            <w:r w:rsidRPr="00526568">
              <w:rPr>
                <w:rFonts w:ascii="Times New Roman" w:eastAsia="Times New Roman" w:hAnsi="Times New Roman"/>
                <w:snapToGrid w:val="0"/>
                <w:sz w:val="24"/>
                <w:szCs w:val="24"/>
              </w:rPr>
              <w:t xml:space="preserve"> оптимизир</w:t>
            </w:r>
            <w:r>
              <w:rPr>
                <w:rFonts w:ascii="Times New Roman" w:eastAsia="Times New Roman" w:hAnsi="Times New Roman"/>
                <w:snapToGrid w:val="0"/>
                <w:sz w:val="24"/>
                <w:szCs w:val="24"/>
              </w:rPr>
              <w:t>ане използването на ресурси и дълготрайност на употребата като основни принципи на кръговата икономика.</w:t>
            </w:r>
          </w:p>
        </w:tc>
      </w:tr>
      <w:tr w:rsidR="005121DD" w:rsidRPr="00F5314F" w14:paraId="4DED9A0C" w14:textId="77777777" w:rsidTr="006B7F3D">
        <w:tc>
          <w:tcPr>
            <w:tcW w:w="2405" w:type="dxa"/>
            <w:shd w:val="clear" w:color="auto" w:fill="E6E6E6"/>
          </w:tcPr>
          <w:p w14:paraId="143735D6" w14:textId="5EA53C24" w:rsidR="005121DD" w:rsidRPr="00F5314F" w:rsidRDefault="005121DD" w:rsidP="005121DD">
            <w:pPr>
              <w:spacing w:after="120" w:line="240" w:lineRule="auto"/>
              <w:rPr>
                <w:rFonts w:ascii="Times New Roman" w:eastAsia="Times New Roman" w:hAnsi="Times New Roman"/>
                <w:b/>
                <w:snapToGrid w:val="0"/>
                <w:sz w:val="24"/>
                <w:szCs w:val="24"/>
              </w:rPr>
            </w:pPr>
            <w:r w:rsidRPr="008F22E8">
              <w:rPr>
                <w:rFonts w:ascii="Times New Roman" w:eastAsia="Times New Roman" w:hAnsi="Times New Roman"/>
                <w:b/>
                <w:snapToGrid w:val="0"/>
                <w:sz w:val="24"/>
                <w:szCs w:val="24"/>
              </w:rPr>
              <w:t>Продукти от риболов и аквакултури</w:t>
            </w:r>
          </w:p>
        </w:tc>
        <w:tc>
          <w:tcPr>
            <w:tcW w:w="7371" w:type="dxa"/>
            <w:shd w:val="clear" w:color="auto" w:fill="F3F3F3"/>
          </w:tcPr>
          <w:p w14:paraId="251912A9" w14:textId="0401114A" w:rsidR="005121DD" w:rsidRPr="00F5314F" w:rsidRDefault="005121DD" w:rsidP="005121DD">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Съгласно чл. 2, пар. 1, буква д</w:t>
            </w:r>
            <w:r w:rsidRPr="00E33383">
              <w:rPr>
                <w:rFonts w:ascii="Times New Roman" w:eastAsia="Times New Roman" w:hAnsi="Times New Roman"/>
                <w:snapToGrid w:val="0"/>
                <w:sz w:val="24"/>
                <w:szCs w:val="24"/>
              </w:rPr>
              <w:t xml:space="preserve">) от Регламент (ЕС) № 2023/2831 </w:t>
            </w:r>
            <w:r>
              <w:rPr>
                <w:rFonts w:ascii="Times New Roman" w:eastAsia="Times New Roman" w:hAnsi="Times New Roman"/>
                <w:snapToGrid w:val="0"/>
                <w:sz w:val="24"/>
                <w:szCs w:val="24"/>
              </w:rPr>
              <w:t>„п</w:t>
            </w:r>
            <w:r w:rsidRPr="00E33383">
              <w:rPr>
                <w:rFonts w:ascii="Times New Roman" w:eastAsia="Times New Roman" w:hAnsi="Times New Roman"/>
                <w:snapToGrid w:val="0"/>
                <w:sz w:val="24"/>
                <w:szCs w:val="24"/>
              </w:rPr>
              <w:t>родукти от риболов и аквакултури</w:t>
            </w:r>
            <w:r w:rsidRPr="00222535">
              <w:rPr>
                <w:rFonts w:ascii="Times New Roman" w:eastAsia="Times New Roman" w:hAnsi="Times New Roman"/>
                <w:snapToGrid w:val="0"/>
                <w:sz w:val="24"/>
                <w:szCs w:val="24"/>
              </w:rPr>
              <w:t>”</w:t>
            </w:r>
            <w:r w:rsidRPr="00E33383">
              <w:rPr>
                <w:rFonts w:ascii="Times New Roman" w:eastAsia="Times New Roman" w:hAnsi="Times New Roman"/>
                <w:snapToGrid w:val="0"/>
                <w:sz w:val="24"/>
                <w:szCs w:val="24"/>
              </w:rPr>
              <w:t xml:space="preserve"> означава продуктите, определени в член 5, букви а) и б</w:t>
            </w:r>
            <w:r>
              <w:rPr>
                <w:rFonts w:ascii="Times New Roman" w:eastAsia="Times New Roman" w:hAnsi="Times New Roman"/>
                <w:snapToGrid w:val="0"/>
                <w:sz w:val="24"/>
                <w:szCs w:val="24"/>
              </w:rPr>
              <w:t xml:space="preserve">) от Регламент (ЕС) № 1379/2013, а именно: </w:t>
            </w:r>
            <w:r w:rsidRPr="00716615">
              <w:rPr>
                <w:rFonts w:ascii="Times New Roman" w:eastAsia="Times New Roman" w:hAnsi="Times New Roman"/>
                <w:snapToGrid w:val="0"/>
                <w:sz w:val="24"/>
                <w:szCs w:val="24"/>
              </w:rPr>
              <w:t>„</w:t>
            </w:r>
            <w:r>
              <w:rPr>
                <w:rFonts w:ascii="Times New Roman" w:eastAsia="Times New Roman" w:hAnsi="Times New Roman"/>
                <w:snapToGrid w:val="0"/>
                <w:sz w:val="24"/>
                <w:szCs w:val="24"/>
              </w:rPr>
              <w:t>продукти от риболов</w:t>
            </w:r>
            <w:r w:rsidRPr="00222535">
              <w:rPr>
                <w:rFonts w:ascii="Times New Roman" w:eastAsia="Times New Roman" w:hAnsi="Times New Roman"/>
                <w:snapToGrid w:val="0"/>
                <w:sz w:val="24"/>
                <w:szCs w:val="24"/>
              </w:rPr>
              <w:t>”</w:t>
            </w:r>
            <w:r w:rsidRPr="00716615">
              <w:rPr>
                <w:rFonts w:ascii="Times New Roman" w:eastAsia="Times New Roman" w:hAnsi="Times New Roman"/>
                <w:snapToGrid w:val="0"/>
                <w:sz w:val="24"/>
                <w:szCs w:val="24"/>
              </w:rPr>
              <w:t xml:space="preserve"> означава водните организми, получени в резултат на риболовна дейност, или продукт</w:t>
            </w:r>
            <w:r>
              <w:rPr>
                <w:rFonts w:ascii="Times New Roman" w:eastAsia="Times New Roman" w:hAnsi="Times New Roman"/>
                <w:snapToGrid w:val="0"/>
                <w:sz w:val="24"/>
                <w:szCs w:val="24"/>
              </w:rPr>
              <w:t>и, получени от тях, изброени в П</w:t>
            </w:r>
            <w:r w:rsidRPr="00716615">
              <w:rPr>
                <w:rFonts w:ascii="Times New Roman" w:eastAsia="Times New Roman" w:hAnsi="Times New Roman"/>
                <w:snapToGrid w:val="0"/>
                <w:sz w:val="24"/>
                <w:szCs w:val="24"/>
              </w:rPr>
              <w:t>риложение I</w:t>
            </w:r>
            <w:r w:rsidRPr="00222535">
              <w:rPr>
                <w:rFonts w:ascii="Times New Roman" w:eastAsia="Times New Roman" w:hAnsi="Times New Roman"/>
                <w:snapToGrid w:val="0"/>
                <w:sz w:val="24"/>
                <w:szCs w:val="24"/>
              </w:rPr>
              <w:t xml:space="preserve"> </w:t>
            </w:r>
            <w:r>
              <w:rPr>
                <w:rFonts w:ascii="Times New Roman" w:eastAsia="Times New Roman" w:hAnsi="Times New Roman"/>
                <w:snapToGrid w:val="0"/>
                <w:sz w:val="24"/>
                <w:szCs w:val="24"/>
              </w:rPr>
              <w:t xml:space="preserve">към </w:t>
            </w:r>
            <w:r w:rsidRPr="00222535">
              <w:rPr>
                <w:rFonts w:ascii="Times New Roman" w:eastAsia="Times New Roman" w:hAnsi="Times New Roman"/>
                <w:snapToGrid w:val="0"/>
                <w:sz w:val="24"/>
                <w:szCs w:val="24"/>
              </w:rPr>
              <w:t xml:space="preserve">Регламент (ЕС) № </w:t>
            </w:r>
            <w:r>
              <w:rPr>
                <w:rFonts w:ascii="Times New Roman" w:eastAsia="Times New Roman" w:hAnsi="Times New Roman"/>
                <w:snapToGrid w:val="0"/>
                <w:sz w:val="24"/>
                <w:szCs w:val="24"/>
              </w:rPr>
              <w:t>1379/2013</w:t>
            </w:r>
            <w:r w:rsidRPr="00716615">
              <w:rPr>
                <w:rFonts w:ascii="Times New Roman" w:eastAsia="Times New Roman" w:hAnsi="Times New Roman"/>
                <w:snapToGrid w:val="0"/>
                <w:sz w:val="24"/>
                <w:szCs w:val="24"/>
              </w:rPr>
              <w:t>;</w:t>
            </w:r>
            <w:r>
              <w:rPr>
                <w:rFonts w:ascii="Times New Roman" w:eastAsia="Times New Roman" w:hAnsi="Times New Roman"/>
                <w:snapToGrid w:val="0"/>
                <w:sz w:val="24"/>
                <w:szCs w:val="24"/>
              </w:rPr>
              <w:t xml:space="preserve"> „продукти от аквакултури</w:t>
            </w:r>
            <w:r w:rsidRPr="00222535">
              <w:rPr>
                <w:rFonts w:ascii="Times New Roman" w:eastAsia="Times New Roman" w:hAnsi="Times New Roman"/>
                <w:snapToGrid w:val="0"/>
                <w:sz w:val="24"/>
                <w:szCs w:val="24"/>
              </w:rPr>
              <w:t>”</w:t>
            </w:r>
            <w:r>
              <w:rPr>
                <w:rFonts w:ascii="Times New Roman" w:eastAsia="Times New Roman" w:hAnsi="Times New Roman"/>
                <w:snapToGrid w:val="0"/>
                <w:sz w:val="24"/>
                <w:szCs w:val="24"/>
              </w:rPr>
              <w:t xml:space="preserve"> </w:t>
            </w:r>
            <w:r w:rsidRPr="00716615">
              <w:rPr>
                <w:rFonts w:ascii="Times New Roman" w:eastAsia="Times New Roman" w:hAnsi="Times New Roman"/>
                <w:snapToGrid w:val="0"/>
                <w:sz w:val="24"/>
                <w:szCs w:val="24"/>
              </w:rPr>
              <w:t>означава водните организми във всеки етап от техния жизнен цикъл, получени в резултат на дей</w:t>
            </w:r>
            <w:r>
              <w:rPr>
                <w:rFonts w:ascii="Times New Roman" w:eastAsia="Times New Roman" w:hAnsi="Times New Roman"/>
                <w:snapToGrid w:val="0"/>
                <w:sz w:val="24"/>
                <w:szCs w:val="24"/>
              </w:rPr>
              <w:t>ности, свързани с аквакултурите</w:t>
            </w:r>
            <w:r w:rsidRPr="00716615">
              <w:rPr>
                <w:rFonts w:ascii="Times New Roman" w:eastAsia="Times New Roman" w:hAnsi="Times New Roman"/>
                <w:snapToGrid w:val="0"/>
                <w:sz w:val="24"/>
                <w:szCs w:val="24"/>
              </w:rPr>
              <w:t xml:space="preserve"> или продукти, получени от тях, избр</w:t>
            </w:r>
            <w:r>
              <w:rPr>
                <w:rFonts w:ascii="Times New Roman" w:eastAsia="Times New Roman" w:hAnsi="Times New Roman"/>
                <w:snapToGrid w:val="0"/>
                <w:sz w:val="24"/>
                <w:szCs w:val="24"/>
              </w:rPr>
              <w:t>оени в П</w:t>
            </w:r>
            <w:r w:rsidRPr="00716615">
              <w:rPr>
                <w:rFonts w:ascii="Times New Roman" w:eastAsia="Times New Roman" w:hAnsi="Times New Roman"/>
                <w:snapToGrid w:val="0"/>
                <w:sz w:val="24"/>
                <w:szCs w:val="24"/>
              </w:rPr>
              <w:t>риложение I</w:t>
            </w:r>
            <w:r w:rsidRPr="00222535">
              <w:rPr>
                <w:rFonts w:ascii="Times New Roman" w:eastAsia="Times New Roman" w:hAnsi="Times New Roman"/>
                <w:snapToGrid w:val="0"/>
                <w:sz w:val="24"/>
                <w:szCs w:val="24"/>
              </w:rPr>
              <w:t xml:space="preserve"> </w:t>
            </w:r>
            <w:r>
              <w:rPr>
                <w:rFonts w:ascii="Times New Roman" w:eastAsia="Times New Roman" w:hAnsi="Times New Roman"/>
                <w:snapToGrid w:val="0"/>
                <w:sz w:val="24"/>
                <w:szCs w:val="24"/>
              </w:rPr>
              <w:t xml:space="preserve">към </w:t>
            </w:r>
            <w:r w:rsidRPr="00DB448A">
              <w:rPr>
                <w:rFonts w:ascii="Times New Roman" w:eastAsia="Times New Roman" w:hAnsi="Times New Roman"/>
                <w:snapToGrid w:val="0"/>
                <w:sz w:val="24"/>
                <w:szCs w:val="24"/>
              </w:rPr>
              <w:t xml:space="preserve">Регламент (ЕС) № </w:t>
            </w:r>
            <w:r>
              <w:rPr>
                <w:rFonts w:ascii="Times New Roman" w:eastAsia="Times New Roman" w:hAnsi="Times New Roman"/>
                <w:snapToGrid w:val="0"/>
                <w:sz w:val="24"/>
                <w:szCs w:val="24"/>
              </w:rPr>
              <w:t>1379/2013.</w:t>
            </w:r>
          </w:p>
        </w:tc>
      </w:tr>
      <w:tr w:rsidR="00257F66" w:rsidRPr="00F5314F" w14:paraId="408A12E6" w14:textId="77777777" w:rsidTr="006B7F3D">
        <w:tc>
          <w:tcPr>
            <w:tcW w:w="2405" w:type="dxa"/>
            <w:shd w:val="clear" w:color="auto" w:fill="E6E6E6"/>
          </w:tcPr>
          <w:p w14:paraId="0DA0AB71" w14:textId="4B7B5291" w:rsidR="00257F66" w:rsidRPr="008F22E8" w:rsidRDefault="00257F66" w:rsidP="005121DD">
            <w:pPr>
              <w:spacing w:after="120" w:line="240" w:lineRule="auto"/>
              <w:rPr>
                <w:rFonts w:ascii="Times New Roman" w:eastAsia="Times New Roman" w:hAnsi="Times New Roman"/>
                <w:b/>
                <w:snapToGrid w:val="0"/>
                <w:sz w:val="24"/>
                <w:szCs w:val="24"/>
              </w:rPr>
            </w:pPr>
            <w:r>
              <w:rPr>
                <w:rFonts w:ascii="Times New Roman" w:eastAsia="Times New Roman" w:hAnsi="Times New Roman"/>
                <w:b/>
                <w:snapToGrid w:val="0"/>
                <w:sz w:val="24"/>
                <w:szCs w:val="24"/>
              </w:rPr>
              <w:t>Промишлена симбиоза</w:t>
            </w:r>
          </w:p>
        </w:tc>
        <w:tc>
          <w:tcPr>
            <w:tcW w:w="7371" w:type="dxa"/>
            <w:shd w:val="clear" w:color="auto" w:fill="F3F3F3"/>
          </w:tcPr>
          <w:p w14:paraId="67DDBC34" w14:textId="74E65333" w:rsidR="00232A28" w:rsidRDefault="00232A28" w:rsidP="00C8094C">
            <w:pPr>
              <w:spacing w:after="120" w:line="240" w:lineRule="auto"/>
              <w:jc w:val="both"/>
              <w:rPr>
                <w:rFonts w:ascii="Times New Roman" w:eastAsia="Times New Roman" w:hAnsi="Times New Roman"/>
                <w:snapToGrid w:val="0"/>
                <w:sz w:val="24"/>
                <w:szCs w:val="24"/>
              </w:rPr>
            </w:pPr>
            <w:r w:rsidRPr="00232A28">
              <w:rPr>
                <w:rFonts w:ascii="Times New Roman" w:eastAsia="Times New Roman" w:hAnsi="Times New Roman"/>
                <w:snapToGrid w:val="0"/>
                <w:sz w:val="24"/>
                <w:szCs w:val="24"/>
              </w:rPr>
              <w:t>За целите на настоящата процедура промишлената симбиоза обхваща случаите, при които отпадъците от една дейност се използват като суровини в производствения процес/процеса по предоставяне на услуги на предприятието-кандидат. Тези отпадъци могат да произтичат както от собствената дейност на кандидата, така и от дейността на други предприятия.</w:t>
            </w:r>
          </w:p>
        </w:tc>
      </w:tr>
      <w:tr w:rsidR="005121DD" w:rsidRPr="00F5314F" w14:paraId="1A2647D8" w14:textId="77777777" w:rsidTr="006B7F3D">
        <w:tc>
          <w:tcPr>
            <w:tcW w:w="2405" w:type="dxa"/>
            <w:shd w:val="clear" w:color="auto" w:fill="E6E6E6"/>
          </w:tcPr>
          <w:p w14:paraId="4911CA45" w14:textId="77777777" w:rsidR="005121DD" w:rsidRPr="00F5314F" w:rsidRDefault="005121DD" w:rsidP="005121D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Процедура за избор на изпълнител</w:t>
            </w:r>
          </w:p>
        </w:tc>
        <w:tc>
          <w:tcPr>
            <w:tcW w:w="7371" w:type="dxa"/>
            <w:shd w:val="clear" w:color="auto" w:fill="F3F3F3"/>
          </w:tcPr>
          <w:p w14:paraId="4A898E56" w14:textId="77777777" w:rsidR="005121DD" w:rsidRPr="00F5314F" w:rsidRDefault="005121DD" w:rsidP="005121D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Система от свързани правила, при спазването на които се избира изпълнител, с когото да се сключи административен договор, финансиран със средства от Европейските фондове при споделено управление.</w:t>
            </w:r>
          </w:p>
        </w:tc>
      </w:tr>
      <w:tr w:rsidR="005121DD" w:rsidRPr="00F5314F" w14:paraId="516D4498" w14:textId="77777777" w:rsidTr="006B7F3D">
        <w:tc>
          <w:tcPr>
            <w:tcW w:w="2405" w:type="dxa"/>
            <w:shd w:val="clear" w:color="auto" w:fill="E6E6E6"/>
          </w:tcPr>
          <w:p w14:paraId="499EF1B3" w14:textId="77777777" w:rsidR="005121DD" w:rsidRPr="00F5314F" w:rsidRDefault="005121DD" w:rsidP="005121D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Публична подкрепа (държавно подпомагане)</w:t>
            </w:r>
          </w:p>
        </w:tc>
        <w:tc>
          <w:tcPr>
            <w:tcW w:w="7371" w:type="dxa"/>
            <w:shd w:val="clear" w:color="auto" w:fill="F3F3F3"/>
          </w:tcPr>
          <w:p w14:paraId="71AB3DC3" w14:textId="41F7CD1D" w:rsidR="005121DD" w:rsidRPr="00F5314F" w:rsidRDefault="005121DD" w:rsidP="005121D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„Публична подкрепа (държавно подпомагане)” означава всякаква финансова подкрепа за дадена операция, която произхожда от бюджета на национален, регионален или местен публичен орган, от бюджета на Съюза, от бюджета на публичноправни организации или от бюджета на сдружения на публични органи или организации, обекти на публичното право по смисъла на чл. 1, пар. 9 от Директива 2004/18/ЕО на Европейския парламент и на Съвета. Финансовите инструменти, централно управлявани от ЕК, финансирани по линия на ЕСИФ, ЕФСУ или изпълнявани с национални средства, също представляват публична подкрепа</w:t>
            </w:r>
          </w:p>
        </w:tc>
      </w:tr>
      <w:tr w:rsidR="005121DD" w:rsidRPr="00F5314F" w14:paraId="015F71EA" w14:textId="77777777" w:rsidTr="006B7F3D">
        <w:tc>
          <w:tcPr>
            <w:tcW w:w="2405" w:type="dxa"/>
            <w:shd w:val="clear" w:color="auto" w:fill="E6E6E6"/>
          </w:tcPr>
          <w:p w14:paraId="67ED64A4" w14:textId="77777777" w:rsidR="005121DD" w:rsidRPr="00F5314F" w:rsidRDefault="005121DD" w:rsidP="005121D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Първично селскостопанско производство</w:t>
            </w:r>
          </w:p>
        </w:tc>
        <w:tc>
          <w:tcPr>
            <w:tcW w:w="7371" w:type="dxa"/>
            <w:shd w:val="clear" w:color="auto" w:fill="F3F3F3"/>
          </w:tcPr>
          <w:p w14:paraId="193AD739" w14:textId="5C40F6C0" w:rsidR="005121DD" w:rsidRPr="00F5314F" w:rsidRDefault="005121DD" w:rsidP="005121D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чл. 2</w:t>
            </w:r>
            <w:r w:rsidRPr="00D430E1">
              <w:rPr>
                <w:rFonts w:ascii="Times New Roman" w:eastAsia="Times New Roman" w:hAnsi="Times New Roman"/>
                <w:snapToGrid w:val="0"/>
                <w:sz w:val="24"/>
                <w:szCs w:val="24"/>
              </w:rPr>
              <w:t>, пар. 9</w:t>
            </w:r>
            <w:r w:rsidRPr="00F5314F">
              <w:rPr>
                <w:rFonts w:ascii="Times New Roman" w:eastAsia="Times New Roman" w:hAnsi="Times New Roman"/>
                <w:snapToGrid w:val="0"/>
                <w:sz w:val="24"/>
                <w:szCs w:val="24"/>
              </w:rPr>
              <w:t xml:space="preserve"> от Регламент (ЕО) № 651/2014, това е </w:t>
            </w:r>
            <w:r w:rsidRPr="00F5314F">
              <w:rPr>
                <w:rFonts w:ascii="Times New Roman" w:eastAsia="Times New Roman" w:hAnsi="Times New Roman"/>
                <w:snapToGrid w:val="0"/>
                <w:sz w:val="24"/>
                <w:szCs w:val="24"/>
                <w:lang w:val="bg"/>
              </w:rPr>
              <w:t>производство на продукти на почвата и на животновъдството, изброени в Приложение № I към Договора за функционирането на</w:t>
            </w:r>
            <w:r>
              <w:rPr>
                <w:rFonts w:ascii="Times New Roman" w:eastAsia="Times New Roman" w:hAnsi="Times New Roman"/>
                <w:snapToGrid w:val="0"/>
                <w:sz w:val="24"/>
                <w:szCs w:val="24"/>
                <w:lang w:val="bg"/>
              </w:rPr>
              <w:t xml:space="preserve"> Европейския съюз (Приложение 12</w:t>
            </w:r>
            <w:r w:rsidRPr="00F5314F">
              <w:rPr>
                <w:rFonts w:ascii="Times New Roman" w:eastAsia="Times New Roman" w:hAnsi="Times New Roman"/>
                <w:snapToGrid w:val="0"/>
                <w:sz w:val="24"/>
                <w:szCs w:val="24"/>
                <w:lang w:val="bg"/>
              </w:rPr>
              <w:t>), без да се извършват никакви по-нататъшни операции, с които се променя естеството на тези продукти.</w:t>
            </w:r>
          </w:p>
        </w:tc>
      </w:tr>
      <w:tr w:rsidR="005121DD" w:rsidRPr="00F5314F" w14:paraId="7AC7BCE7" w14:textId="77777777" w:rsidTr="006B7F3D">
        <w:tc>
          <w:tcPr>
            <w:tcW w:w="2405" w:type="dxa"/>
            <w:shd w:val="clear" w:color="auto" w:fill="E6E6E6"/>
          </w:tcPr>
          <w:p w14:paraId="53DDD4D8" w14:textId="7B39FF16" w:rsidR="005121DD" w:rsidRPr="00F5314F" w:rsidRDefault="005121DD" w:rsidP="005121DD">
            <w:pPr>
              <w:spacing w:after="120" w:line="240" w:lineRule="auto"/>
              <w:rPr>
                <w:rFonts w:ascii="Times New Roman" w:eastAsia="Times New Roman" w:hAnsi="Times New Roman"/>
                <w:b/>
                <w:snapToGrid w:val="0"/>
                <w:sz w:val="24"/>
                <w:szCs w:val="24"/>
              </w:rPr>
            </w:pPr>
            <w:r w:rsidRPr="008F22E8">
              <w:rPr>
                <w:rFonts w:ascii="Times New Roman" w:eastAsia="Times New Roman" w:hAnsi="Times New Roman"/>
                <w:b/>
                <w:snapToGrid w:val="0"/>
                <w:sz w:val="24"/>
                <w:szCs w:val="24"/>
              </w:rPr>
              <w:t>Първично производство на продукти от риболов и аквакултури</w:t>
            </w:r>
          </w:p>
        </w:tc>
        <w:tc>
          <w:tcPr>
            <w:tcW w:w="7371" w:type="dxa"/>
            <w:shd w:val="clear" w:color="auto" w:fill="F3F3F3"/>
          </w:tcPr>
          <w:p w14:paraId="003B375E" w14:textId="7AFBE41A" w:rsidR="005121DD" w:rsidRPr="00F5314F" w:rsidRDefault="005121DD" w:rsidP="005121DD">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Съгласно чл. 2, пар. 1, буква e</w:t>
            </w:r>
            <w:r w:rsidRPr="00E33383">
              <w:rPr>
                <w:rFonts w:ascii="Times New Roman" w:eastAsia="Times New Roman" w:hAnsi="Times New Roman"/>
                <w:snapToGrid w:val="0"/>
                <w:sz w:val="24"/>
                <w:szCs w:val="24"/>
              </w:rPr>
              <w:t>) от Регламент (ЕС) № 2023/2831</w:t>
            </w:r>
            <w:r w:rsidRPr="00222535">
              <w:rPr>
                <w:rFonts w:ascii="Times New Roman" w:eastAsia="Times New Roman" w:hAnsi="Times New Roman"/>
                <w:snapToGrid w:val="0"/>
                <w:sz w:val="24"/>
                <w:szCs w:val="24"/>
              </w:rPr>
              <w:t xml:space="preserve"> </w:t>
            </w:r>
            <w:r>
              <w:rPr>
                <w:rFonts w:ascii="Times New Roman" w:eastAsia="Times New Roman" w:hAnsi="Times New Roman"/>
                <w:snapToGrid w:val="0"/>
                <w:sz w:val="24"/>
                <w:szCs w:val="24"/>
              </w:rPr>
              <w:t>„</w:t>
            </w:r>
            <w:r w:rsidRPr="00394EDC">
              <w:rPr>
                <w:rFonts w:ascii="Times New Roman" w:eastAsia="Times New Roman" w:hAnsi="Times New Roman"/>
                <w:snapToGrid w:val="0"/>
                <w:sz w:val="24"/>
                <w:szCs w:val="24"/>
              </w:rPr>
              <w:t>първично производство на продукти от риболов и аквакултури</w:t>
            </w:r>
            <w:r w:rsidRPr="00222535">
              <w:rPr>
                <w:rFonts w:ascii="Times New Roman" w:eastAsia="Times New Roman" w:hAnsi="Times New Roman"/>
                <w:snapToGrid w:val="0"/>
                <w:sz w:val="24"/>
                <w:szCs w:val="24"/>
              </w:rPr>
              <w:t xml:space="preserve">” </w:t>
            </w:r>
            <w:r w:rsidRPr="00E33383">
              <w:rPr>
                <w:rFonts w:ascii="Times New Roman" w:eastAsia="Times New Roman" w:hAnsi="Times New Roman"/>
                <w:snapToGrid w:val="0"/>
                <w:sz w:val="24"/>
                <w:szCs w:val="24"/>
              </w:rPr>
              <w:t>означава всички операции, свързани с риболова, развъждането или отглеждането на водни организми, ка</w:t>
            </w:r>
            <w:r>
              <w:rPr>
                <w:rFonts w:ascii="Times New Roman" w:eastAsia="Times New Roman" w:hAnsi="Times New Roman"/>
                <w:snapToGrid w:val="0"/>
                <w:sz w:val="24"/>
                <w:szCs w:val="24"/>
              </w:rPr>
              <w:t>кто и дейностите в стопанството</w:t>
            </w:r>
            <w:r w:rsidRPr="00E33383">
              <w:rPr>
                <w:rFonts w:ascii="Times New Roman" w:eastAsia="Times New Roman" w:hAnsi="Times New Roman"/>
                <w:snapToGrid w:val="0"/>
                <w:sz w:val="24"/>
                <w:szCs w:val="24"/>
              </w:rPr>
              <w:t xml:space="preserve"> или операции на борда, които са необходими за подготовката на животно или растение за първата продажба, включително нарязване, филетиране или замразяване, както и първата продажба н</w:t>
            </w:r>
            <w:r>
              <w:rPr>
                <w:rFonts w:ascii="Times New Roman" w:eastAsia="Times New Roman" w:hAnsi="Times New Roman"/>
                <w:snapToGrid w:val="0"/>
                <w:sz w:val="24"/>
                <w:szCs w:val="24"/>
              </w:rPr>
              <w:t>а прекупвачи или преработватели.</w:t>
            </w:r>
          </w:p>
        </w:tc>
      </w:tr>
      <w:tr w:rsidR="005121DD" w:rsidRPr="00F5314F" w14:paraId="34965270" w14:textId="77777777" w:rsidTr="006B7F3D">
        <w:tc>
          <w:tcPr>
            <w:tcW w:w="2405" w:type="dxa"/>
            <w:shd w:val="clear" w:color="auto" w:fill="E6E6E6"/>
          </w:tcPr>
          <w:p w14:paraId="45A1C712" w14:textId="77777777" w:rsidR="005121DD" w:rsidRPr="00F5314F" w:rsidRDefault="005121DD" w:rsidP="005121D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Първоначална инвестиция</w:t>
            </w:r>
          </w:p>
        </w:tc>
        <w:tc>
          <w:tcPr>
            <w:tcW w:w="7371" w:type="dxa"/>
            <w:shd w:val="clear" w:color="auto" w:fill="F3F3F3"/>
          </w:tcPr>
          <w:p w14:paraId="1B607C7F" w14:textId="5673414E" w:rsidR="005121DD" w:rsidRPr="00FA12AF" w:rsidRDefault="005121DD" w:rsidP="005121DD">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За целите на процедурата приложимо е определението за „първоначална инвестиция</w:t>
            </w:r>
            <w:r w:rsidRPr="00FA12AF">
              <w:rPr>
                <w:rFonts w:ascii="Times New Roman" w:eastAsia="Times New Roman" w:hAnsi="Times New Roman"/>
                <w:snapToGrid w:val="0"/>
                <w:sz w:val="24"/>
                <w:szCs w:val="24"/>
              </w:rPr>
              <w:t xml:space="preserve">” </w:t>
            </w:r>
            <w:r>
              <w:rPr>
                <w:rFonts w:ascii="Times New Roman" w:eastAsia="Times New Roman" w:hAnsi="Times New Roman"/>
                <w:snapToGrid w:val="0"/>
                <w:sz w:val="24"/>
                <w:szCs w:val="24"/>
              </w:rPr>
              <w:t>с</w:t>
            </w:r>
            <w:r w:rsidRPr="00F5314F">
              <w:rPr>
                <w:rFonts w:ascii="Times New Roman" w:eastAsia="Times New Roman" w:hAnsi="Times New Roman"/>
                <w:snapToGrid w:val="0"/>
                <w:sz w:val="24"/>
                <w:szCs w:val="24"/>
              </w:rPr>
              <w:t>ъгласно чл. 2, пар. 49</w:t>
            </w:r>
            <w:r>
              <w:rPr>
                <w:rFonts w:ascii="Times New Roman" w:eastAsia="Times New Roman" w:hAnsi="Times New Roman"/>
                <w:snapToGrid w:val="0"/>
                <w:sz w:val="24"/>
                <w:szCs w:val="24"/>
              </w:rPr>
              <w:t>, буква а)</w:t>
            </w:r>
            <w:r w:rsidRPr="00F5314F">
              <w:rPr>
                <w:rFonts w:ascii="Times New Roman" w:eastAsia="Times New Roman" w:hAnsi="Times New Roman"/>
                <w:snapToGrid w:val="0"/>
                <w:sz w:val="24"/>
                <w:szCs w:val="24"/>
              </w:rPr>
              <w:t xml:space="preserve"> от Регламент (ЕС) № 651/2014,</w:t>
            </w:r>
            <w:r>
              <w:rPr>
                <w:rFonts w:ascii="Times New Roman" w:eastAsia="Times New Roman" w:hAnsi="Times New Roman"/>
                <w:snapToGrid w:val="0"/>
                <w:sz w:val="24"/>
                <w:szCs w:val="24"/>
              </w:rPr>
              <w:t xml:space="preserve"> а именно</w:t>
            </w:r>
            <w:r w:rsidRPr="00F5314F">
              <w:rPr>
                <w:rFonts w:ascii="Times New Roman" w:eastAsia="Times New Roman" w:hAnsi="Times New Roman"/>
                <w:snapToGrid w:val="0"/>
                <w:sz w:val="24"/>
                <w:szCs w:val="24"/>
              </w:rPr>
              <w:t>:</w:t>
            </w:r>
            <w:r>
              <w:rPr>
                <w:rFonts w:ascii="Times New Roman" w:eastAsia="Times New Roman" w:hAnsi="Times New Roman"/>
                <w:snapToGrid w:val="0"/>
                <w:sz w:val="24"/>
                <w:szCs w:val="24"/>
              </w:rPr>
              <w:t xml:space="preserve"> „</w:t>
            </w:r>
            <w:r w:rsidRPr="00FA12AF">
              <w:rPr>
                <w:rFonts w:ascii="Times New Roman" w:eastAsia="Times New Roman" w:hAnsi="Times New Roman"/>
                <w:snapToGrid w:val="0"/>
                <w:sz w:val="24"/>
                <w:szCs w:val="24"/>
              </w:rPr>
              <w:t>инвестиция в материални и нематериални активи, свързани с едно или повече от следните:</w:t>
            </w:r>
          </w:p>
          <w:p w14:paraId="5F94DBD7" w14:textId="77777777" w:rsidR="005121DD" w:rsidRPr="00FA12AF" w:rsidRDefault="005121DD" w:rsidP="005121DD">
            <w:pPr>
              <w:spacing w:after="120" w:line="240" w:lineRule="auto"/>
              <w:jc w:val="both"/>
              <w:rPr>
                <w:rFonts w:ascii="Times New Roman" w:eastAsia="Times New Roman" w:hAnsi="Times New Roman"/>
                <w:snapToGrid w:val="0"/>
                <w:sz w:val="24"/>
                <w:szCs w:val="24"/>
              </w:rPr>
            </w:pPr>
            <w:r w:rsidRPr="00FA12AF">
              <w:rPr>
                <w:rFonts w:ascii="Times New Roman" w:eastAsia="Times New Roman" w:hAnsi="Times New Roman"/>
                <w:snapToGrid w:val="0"/>
                <w:sz w:val="24"/>
                <w:szCs w:val="24"/>
              </w:rPr>
              <w:t>- създаване на нов стопански обект;</w:t>
            </w:r>
          </w:p>
          <w:p w14:paraId="6CC2C0C9" w14:textId="77777777" w:rsidR="005121DD" w:rsidRPr="00FA12AF" w:rsidRDefault="005121DD" w:rsidP="005121DD">
            <w:pPr>
              <w:spacing w:after="120" w:line="240" w:lineRule="auto"/>
              <w:jc w:val="both"/>
              <w:rPr>
                <w:rFonts w:ascii="Times New Roman" w:eastAsia="Times New Roman" w:hAnsi="Times New Roman"/>
                <w:snapToGrid w:val="0"/>
                <w:sz w:val="24"/>
                <w:szCs w:val="24"/>
              </w:rPr>
            </w:pPr>
            <w:r w:rsidRPr="00FA12AF">
              <w:rPr>
                <w:rFonts w:ascii="Times New Roman" w:eastAsia="Times New Roman" w:hAnsi="Times New Roman"/>
                <w:snapToGrid w:val="0"/>
                <w:sz w:val="24"/>
                <w:szCs w:val="24"/>
              </w:rPr>
              <w:t>- увеличаване на капацитета на съществуващ стопански обект;</w:t>
            </w:r>
          </w:p>
          <w:p w14:paraId="066ADEA0" w14:textId="77777777" w:rsidR="005121DD" w:rsidRPr="00FA12AF" w:rsidRDefault="005121DD" w:rsidP="005121DD">
            <w:pPr>
              <w:spacing w:after="120" w:line="240" w:lineRule="auto"/>
              <w:jc w:val="both"/>
              <w:rPr>
                <w:rFonts w:ascii="Times New Roman" w:eastAsia="Times New Roman" w:hAnsi="Times New Roman"/>
                <w:snapToGrid w:val="0"/>
                <w:sz w:val="24"/>
                <w:szCs w:val="24"/>
              </w:rPr>
            </w:pPr>
            <w:r w:rsidRPr="00FA12AF">
              <w:rPr>
                <w:rFonts w:ascii="Times New Roman" w:eastAsia="Times New Roman" w:hAnsi="Times New Roman"/>
                <w:snapToGrid w:val="0"/>
                <w:sz w:val="24"/>
                <w:szCs w:val="24"/>
              </w:rPr>
              <w:t>- диверсификация на продукцията на даден стопански обект с продукти или услуги, които той не е произвеждал или предлагал до този момент, или</w:t>
            </w:r>
          </w:p>
          <w:p w14:paraId="50D31FE5" w14:textId="1513F15E" w:rsidR="005121DD" w:rsidRDefault="005121DD" w:rsidP="005121DD">
            <w:pPr>
              <w:spacing w:after="120" w:line="240" w:lineRule="auto"/>
              <w:jc w:val="both"/>
              <w:rPr>
                <w:rFonts w:ascii="Times New Roman" w:eastAsia="Times New Roman" w:hAnsi="Times New Roman"/>
                <w:snapToGrid w:val="0"/>
                <w:sz w:val="24"/>
                <w:szCs w:val="24"/>
              </w:rPr>
            </w:pPr>
            <w:r w:rsidRPr="00FA12AF">
              <w:rPr>
                <w:rFonts w:ascii="Times New Roman" w:eastAsia="Times New Roman" w:hAnsi="Times New Roman"/>
                <w:snapToGrid w:val="0"/>
                <w:sz w:val="24"/>
                <w:szCs w:val="24"/>
              </w:rPr>
              <w:t>- основна промяна в целия производствен процес на продукта(ите) или цялостното предоставяне на услугата(ите), засегнати от и</w:t>
            </w:r>
            <w:r>
              <w:rPr>
                <w:rFonts w:ascii="Times New Roman" w:eastAsia="Times New Roman" w:hAnsi="Times New Roman"/>
                <w:snapToGrid w:val="0"/>
                <w:sz w:val="24"/>
                <w:szCs w:val="24"/>
              </w:rPr>
              <w:t>нвестицията в стопанския субект.</w:t>
            </w:r>
          </w:p>
          <w:p w14:paraId="61B226E3" w14:textId="5306729A" w:rsidR="005121DD" w:rsidRPr="00F5314F" w:rsidRDefault="005121DD" w:rsidP="005121DD">
            <w:pPr>
              <w:spacing w:after="120" w:line="240" w:lineRule="auto"/>
              <w:jc w:val="both"/>
              <w:rPr>
                <w:rFonts w:ascii="Times New Roman" w:eastAsia="Times New Roman" w:hAnsi="Times New Roman"/>
                <w:snapToGrid w:val="0"/>
                <w:sz w:val="24"/>
                <w:szCs w:val="24"/>
              </w:rPr>
            </w:pPr>
            <w:r w:rsidRPr="00FA12AF">
              <w:rPr>
                <w:rFonts w:ascii="Times New Roman" w:eastAsia="Times New Roman" w:hAnsi="Times New Roman"/>
                <w:snapToGrid w:val="0"/>
                <w:sz w:val="24"/>
                <w:szCs w:val="24"/>
              </w:rPr>
              <w:t>Следователно заместваща инвестиция не представлява първоначална инвестиция.</w:t>
            </w:r>
          </w:p>
          <w:p w14:paraId="315F8FD5" w14:textId="4B613C08" w:rsidR="005121DD" w:rsidRPr="00F5314F" w:rsidRDefault="005121DD" w:rsidP="005121DD">
            <w:pPr>
              <w:spacing w:after="120" w:line="240" w:lineRule="auto"/>
              <w:jc w:val="both"/>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По настоящата процедура са допустими единствено </w:t>
            </w:r>
            <w:r>
              <w:rPr>
                <w:rFonts w:ascii="Times New Roman" w:eastAsia="Times New Roman" w:hAnsi="Times New Roman"/>
                <w:b/>
                <w:snapToGrid w:val="0"/>
                <w:sz w:val="24"/>
                <w:szCs w:val="24"/>
              </w:rPr>
              <w:t xml:space="preserve">следните </w:t>
            </w:r>
            <w:r w:rsidRPr="00F5314F">
              <w:rPr>
                <w:rFonts w:ascii="Times New Roman" w:eastAsia="Times New Roman" w:hAnsi="Times New Roman"/>
                <w:b/>
                <w:snapToGrid w:val="0"/>
                <w:sz w:val="24"/>
                <w:szCs w:val="24"/>
              </w:rPr>
              <w:t>първоначални инвестиции:</w:t>
            </w:r>
          </w:p>
          <w:p w14:paraId="3A1D9F58" w14:textId="1E48500B" w:rsidR="005121DD" w:rsidRPr="00F5314F" w:rsidRDefault="005121DD" w:rsidP="005121DD">
            <w:pPr>
              <w:spacing w:after="120" w:line="240" w:lineRule="auto"/>
              <w:jc w:val="both"/>
              <w:rPr>
                <w:rFonts w:ascii="Times New Roman" w:eastAsia="Times New Roman" w:hAnsi="Times New Roman"/>
                <w:snapToGrid w:val="0"/>
                <w:sz w:val="24"/>
                <w:szCs w:val="24"/>
              </w:rPr>
            </w:pPr>
            <w:r w:rsidRPr="00FA12AF">
              <w:rPr>
                <w:rFonts w:ascii="Times New Roman" w:eastAsia="Times New Roman" w:hAnsi="Times New Roman"/>
                <w:b/>
                <w:snapToGrid w:val="0"/>
                <w:sz w:val="24"/>
                <w:szCs w:val="24"/>
              </w:rPr>
              <w:t xml:space="preserve">- </w:t>
            </w:r>
            <w:r w:rsidRPr="00F5314F">
              <w:rPr>
                <w:rFonts w:ascii="Times New Roman" w:eastAsia="Times New Roman" w:hAnsi="Times New Roman"/>
                <w:b/>
                <w:snapToGrid w:val="0"/>
                <w:sz w:val="24"/>
                <w:szCs w:val="24"/>
              </w:rPr>
              <w:t>„Създаване</w:t>
            </w:r>
            <w:r>
              <w:rPr>
                <w:rFonts w:ascii="Times New Roman" w:eastAsia="Times New Roman" w:hAnsi="Times New Roman"/>
                <w:b/>
                <w:snapToGrid w:val="0"/>
                <w:sz w:val="24"/>
                <w:szCs w:val="24"/>
              </w:rPr>
              <w:t xml:space="preserve"> на нов стопански обект</w:t>
            </w:r>
            <w:r w:rsidRPr="00FA12AF">
              <w:rPr>
                <w:rFonts w:ascii="Times New Roman" w:eastAsia="Times New Roman" w:hAnsi="Times New Roman"/>
                <w:b/>
                <w:snapToGrid w:val="0"/>
                <w:sz w:val="24"/>
                <w:szCs w:val="24"/>
              </w:rPr>
              <w:t xml:space="preserve">”: </w:t>
            </w:r>
            <w:r w:rsidRPr="00FA12AF">
              <w:rPr>
                <w:rFonts w:ascii="Times New Roman" w:eastAsia="Times New Roman" w:hAnsi="Times New Roman"/>
                <w:snapToGrid w:val="0"/>
                <w:sz w:val="24"/>
                <w:szCs w:val="24"/>
                <w:lang w:val="en-US"/>
              </w:rPr>
              <w:t>o</w:t>
            </w:r>
            <w:r w:rsidRPr="00F5314F">
              <w:rPr>
                <w:rFonts w:ascii="Times New Roman" w:eastAsia="Times New Roman" w:hAnsi="Times New Roman"/>
                <w:snapToGrid w:val="0"/>
                <w:sz w:val="24"/>
                <w:szCs w:val="24"/>
              </w:rPr>
              <w:t>значава създаването на нова различна производствена единица, а не на ново различно юридическо лице. За да се определи като стопански обект производствената единица трябва да е пространствено, функционално и организационно отделена единица, която се характеризира с висока степен на автономност. Водеща характеристика за определянето на инвестицията като нов стопански обект, а не разширяване на капацитета на съществуващ стопански обект, е това дали предприятието вече има стопански обект на същото място. Новият стопански обект трябва да бъде самостоятелно обособен, без да разчита на съвместни технически ресурси със съществуващия стопански обект.</w:t>
            </w:r>
          </w:p>
          <w:p w14:paraId="1D76B8F4" w14:textId="421C413F" w:rsidR="005121DD" w:rsidRPr="00D430E1" w:rsidRDefault="005121DD" w:rsidP="005121DD">
            <w:pPr>
              <w:spacing w:after="120" w:line="240" w:lineRule="auto"/>
              <w:jc w:val="both"/>
              <w:rPr>
                <w:rFonts w:ascii="Times New Roman" w:eastAsia="Times New Roman" w:hAnsi="Times New Roman"/>
                <w:b/>
                <w:snapToGrid w:val="0"/>
                <w:sz w:val="24"/>
                <w:szCs w:val="24"/>
              </w:rPr>
            </w:pPr>
            <w:r w:rsidRPr="00FA12AF">
              <w:rPr>
                <w:rFonts w:ascii="Times New Roman" w:eastAsia="Times New Roman" w:hAnsi="Times New Roman"/>
                <w:b/>
                <w:snapToGrid w:val="0"/>
                <w:sz w:val="24"/>
                <w:szCs w:val="24"/>
              </w:rPr>
              <w:t xml:space="preserve">- </w:t>
            </w:r>
            <w:r w:rsidRPr="00F5314F">
              <w:rPr>
                <w:rFonts w:ascii="Times New Roman" w:eastAsia="Times New Roman" w:hAnsi="Times New Roman"/>
                <w:b/>
                <w:snapToGrid w:val="0"/>
                <w:sz w:val="24"/>
                <w:szCs w:val="24"/>
              </w:rPr>
              <w:t>„Увеличаване на капацитета</w:t>
            </w:r>
            <w:r>
              <w:rPr>
                <w:rFonts w:ascii="Times New Roman" w:eastAsia="Times New Roman" w:hAnsi="Times New Roman"/>
                <w:b/>
                <w:snapToGrid w:val="0"/>
                <w:sz w:val="24"/>
                <w:szCs w:val="24"/>
              </w:rPr>
              <w:t xml:space="preserve"> на съществуващ стопански обект</w:t>
            </w:r>
            <w:r w:rsidRPr="00FA12AF">
              <w:rPr>
                <w:rFonts w:ascii="Times New Roman" w:eastAsia="Times New Roman" w:hAnsi="Times New Roman"/>
                <w:b/>
                <w:snapToGrid w:val="0"/>
                <w:sz w:val="24"/>
                <w:szCs w:val="24"/>
              </w:rPr>
              <w:t xml:space="preserve">”: </w:t>
            </w:r>
            <w:r w:rsidRPr="00F5314F">
              <w:rPr>
                <w:rFonts w:ascii="Times New Roman" w:eastAsia="Times New Roman" w:hAnsi="Times New Roman"/>
                <w:snapToGrid w:val="0"/>
                <w:sz w:val="24"/>
                <w:szCs w:val="24"/>
              </w:rPr>
              <w:t>налице</w:t>
            </w:r>
            <w:r w:rsidRPr="00FA12AF">
              <w:rPr>
                <w:rFonts w:ascii="Times New Roman" w:eastAsia="Times New Roman" w:hAnsi="Times New Roman"/>
                <w:snapToGrid w:val="0"/>
                <w:sz w:val="24"/>
                <w:szCs w:val="24"/>
              </w:rPr>
              <w:t xml:space="preserve"> </w:t>
            </w:r>
            <w:r>
              <w:rPr>
                <w:rFonts w:ascii="Times New Roman" w:eastAsia="Times New Roman" w:hAnsi="Times New Roman"/>
                <w:snapToGrid w:val="0"/>
                <w:sz w:val="24"/>
                <w:szCs w:val="24"/>
                <w:lang w:val="en-US"/>
              </w:rPr>
              <w:t>e</w:t>
            </w:r>
            <w:r w:rsidRPr="00F5314F">
              <w:rPr>
                <w:rFonts w:ascii="Times New Roman" w:eastAsia="Times New Roman" w:hAnsi="Times New Roman"/>
                <w:snapToGrid w:val="0"/>
                <w:sz w:val="24"/>
                <w:szCs w:val="24"/>
              </w:rPr>
              <w:t>, когато вследствие на инвестицията съществуващият стопански обект ще може да произвежда повече от поне един от вече произвежданите продукти, при условие че базисният производствен процес не се променя из основи.</w:t>
            </w:r>
          </w:p>
          <w:p w14:paraId="6EA23524" w14:textId="753DFDB8" w:rsidR="005121DD" w:rsidRPr="00F5314F" w:rsidRDefault="005121DD" w:rsidP="005121DD">
            <w:pPr>
              <w:spacing w:after="120" w:line="240" w:lineRule="auto"/>
              <w:jc w:val="both"/>
              <w:rPr>
                <w:rFonts w:ascii="Times New Roman" w:eastAsia="Times New Roman" w:hAnsi="Times New Roman"/>
                <w:snapToGrid w:val="0"/>
                <w:sz w:val="24"/>
                <w:szCs w:val="24"/>
              </w:rPr>
            </w:pPr>
            <w:r w:rsidRPr="00FA12AF">
              <w:rPr>
                <w:rFonts w:ascii="Times New Roman" w:eastAsia="Times New Roman" w:hAnsi="Times New Roman"/>
                <w:b/>
                <w:snapToGrid w:val="0"/>
                <w:sz w:val="24"/>
                <w:szCs w:val="24"/>
              </w:rPr>
              <w:lastRenderedPageBreak/>
              <w:t xml:space="preserve">- </w:t>
            </w:r>
            <w:r w:rsidRPr="00F5314F">
              <w:rPr>
                <w:rFonts w:ascii="Times New Roman" w:eastAsia="Times New Roman" w:hAnsi="Times New Roman"/>
                <w:b/>
                <w:snapToGrid w:val="0"/>
                <w:sz w:val="24"/>
                <w:szCs w:val="24"/>
              </w:rPr>
              <w:t>„Диверсификация на продукцията на даден стопански обект с продукти или услуги, които той не е произвежд</w:t>
            </w:r>
            <w:r>
              <w:rPr>
                <w:rFonts w:ascii="Times New Roman" w:eastAsia="Times New Roman" w:hAnsi="Times New Roman"/>
                <w:b/>
                <w:snapToGrid w:val="0"/>
                <w:sz w:val="24"/>
                <w:szCs w:val="24"/>
              </w:rPr>
              <w:t>ал или предлагал до този момент</w:t>
            </w:r>
            <w:r w:rsidRPr="00FA12AF">
              <w:rPr>
                <w:rFonts w:ascii="Times New Roman" w:eastAsia="Times New Roman" w:hAnsi="Times New Roman"/>
                <w:b/>
                <w:snapToGrid w:val="0"/>
                <w:sz w:val="24"/>
                <w:szCs w:val="24"/>
              </w:rPr>
              <w:t>”:</w:t>
            </w:r>
            <w:r>
              <w:rPr>
                <w:rFonts w:ascii="Times New Roman" w:eastAsia="Times New Roman" w:hAnsi="Times New Roman"/>
                <w:snapToGrid w:val="0"/>
                <w:sz w:val="24"/>
                <w:szCs w:val="24"/>
              </w:rPr>
              <w:t xml:space="preserve"> </w:t>
            </w:r>
            <w:r w:rsidRPr="00F5314F">
              <w:rPr>
                <w:rFonts w:ascii="Times New Roman" w:eastAsia="Times New Roman" w:hAnsi="Times New Roman"/>
                <w:snapToGrid w:val="0"/>
                <w:sz w:val="24"/>
                <w:szCs w:val="24"/>
              </w:rPr>
              <w:t>налице</w:t>
            </w:r>
            <w:r w:rsidRPr="00FA12AF">
              <w:rPr>
                <w:rFonts w:ascii="Times New Roman" w:eastAsia="Times New Roman" w:hAnsi="Times New Roman"/>
                <w:snapToGrid w:val="0"/>
                <w:sz w:val="24"/>
                <w:szCs w:val="24"/>
              </w:rPr>
              <w:t xml:space="preserve"> </w:t>
            </w:r>
            <w:r>
              <w:rPr>
                <w:rFonts w:ascii="Times New Roman" w:eastAsia="Times New Roman" w:hAnsi="Times New Roman"/>
                <w:snapToGrid w:val="0"/>
                <w:sz w:val="24"/>
                <w:szCs w:val="24"/>
                <w:lang w:val="en-US"/>
              </w:rPr>
              <w:t>e</w:t>
            </w:r>
            <w:r w:rsidRPr="00F5314F">
              <w:rPr>
                <w:rFonts w:ascii="Times New Roman" w:eastAsia="Times New Roman" w:hAnsi="Times New Roman"/>
                <w:snapToGrid w:val="0"/>
                <w:sz w:val="24"/>
                <w:szCs w:val="24"/>
              </w:rPr>
              <w:t>, когато продуктът не е бил произвеждан или услугата не е била предлагана в предприятието преди инвестицията, за която се кандидатства. Незначително изменен продукт или услуга чрез рутинна продуктова иновация за разлика от основната иновация не се класифицира като продукт или услуга, който/която не е произвеждан/предлагана преди. Диверсификацията на продукцията обхваща продукти или услуги с фундаментално нови характеристики, необхващащи незначително осъвременяване на продуктите/услугите.</w:t>
            </w:r>
          </w:p>
          <w:p w14:paraId="0799DBEA" w14:textId="6C48D692" w:rsidR="005121DD" w:rsidRPr="00F5314F" w:rsidRDefault="005121DD" w:rsidP="005121D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За да бъде определена първоначалната инвестиция като диверсификация на продукцията на даден стопански обект, е необходимо общият размер на допустимите разходи по </w:t>
            </w:r>
            <w:r>
              <w:rPr>
                <w:rFonts w:ascii="Times New Roman" w:eastAsia="Times New Roman" w:hAnsi="Times New Roman"/>
                <w:snapToGrid w:val="0"/>
                <w:sz w:val="24"/>
                <w:szCs w:val="24"/>
              </w:rPr>
              <w:t>проекта</w:t>
            </w:r>
            <w:r w:rsidRPr="00F5314F">
              <w:rPr>
                <w:rFonts w:ascii="Times New Roman" w:eastAsia="Times New Roman" w:hAnsi="Times New Roman"/>
                <w:snapToGrid w:val="0"/>
                <w:sz w:val="24"/>
                <w:szCs w:val="24"/>
              </w:rPr>
              <w:t xml:space="preserve"> да надхвърля с поне 200% счетоводната стойност на активите, които се използват повторно, както са осчетоводени през финансовата година преди започването на работата по проекта.</w:t>
            </w:r>
          </w:p>
        </w:tc>
      </w:tr>
      <w:tr w:rsidR="005121DD" w:rsidRPr="00A72FD4" w14:paraId="44FAA414" w14:textId="77777777" w:rsidTr="006B7F3D">
        <w:tc>
          <w:tcPr>
            <w:tcW w:w="2405" w:type="dxa"/>
            <w:shd w:val="clear" w:color="auto" w:fill="E7E6E6" w:themeFill="background2"/>
          </w:tcPr>
          <w:p w14:paraId="19656602" w14:textId="2868B384" w:rsidR="005121DD" w:rsidRPr="00A72FD4" w:rsidRDefault="005121DD" w:rsidP="005121DD">
            <w:pPr>
              <w:spacing w:after="120" w:line="240" w:lineRule="auto"/>
              <w:rPr>
                <w:rFonts w:ascii="Times New Roman" w:eastAsia="Times New Roman" w:hAnsi="Times New Roman"/>
                <w:b/>
                <w:snapToGrid w:val="0"/>
                <w:color w:val="000000" w:themeColor="text1"/>
                <w:sz w:val="24"/>
                <w:szCs w:val="24"/>
              </w:rPr>
            </w:pPr>
            <w:r w:rsidRPr="00A72FD4">
              <w:rPr>
                <w:rFonts w:ascii="Times New Roman" w:eastAsia="Times New Roman" w:hAnsi="Times New Roman"/>
                <w:b/>
                <w:color w:val="000000" w:themeColor="text1"/>
                <w:sz w:val="24"/>
                <w:szCs w:val="24"/>
                <w:lang w:eastAsia="bg-BG"/>
              </w:rPr>
              <w:lastRenderedPageBreak/>
              <w:t>Ресурсна ефективност</w:t>
            </w:r>
          </w:p>
        </w:tc>
        <w:tc>
          <w:tcPr>
            <w:tcW w:w="7371" w:type="dxa"/>
            <w:shd w:val="clear" w:color="auto" w:fill="F2F2F2" w:themeFill="background1" w:themeFillShade="F2"/>
          </w:tcPr>
          <w:p w14:paraId="62071698" w14:textId="46086442" w:rsidR="005121DD" w:rsidRPr="00A72FD4" w:rsidRDefault="005121DD" w:rsidP="005121DD">
            <w:pPr>
              <w:spacing w:after="120" w:line="240" w:lineRule="auto"/>
              <w:jc w:val="both"/>
              <w:rPr>
                <w:rFonts w:ascii="Times New Roman" w:eastAsia="Times New Roman" w:hAnsi="Times New Roman"/>
                <w:snapToGrid w:val="0"/>
                <w:color w:val="000000" w:themeColor="text1"/>
                <w:sz w:val="24"/>
                <w:szCs w:val="24"/>
              </w:rPr>
            </w:pPr>
            <w:r w:rsidRPr="00A72FD4">
              <w:rPr>
                <w:rFonts w:ascii="Times New Roman" w:eastAsia="Times New Roman" w:hAnsi="Times New Roman"/>
                <w:snapToGrid w:val="0"/>
                <w:color w:val="000000" w:themeColor="text1"/>
                <w:sz w:val="24"/>
                <w:szCs w:val="24"/>
              </w:rPr>
              <w:t xml:space="preserve">Използване на ограничените ресурси на планетата по устойчив начин, като същевременно се свежда до минимум въздействието върху околната среда и се осигурява възможност за икономически растеж чрез намаляване на зависимостта от използването на суровини. </w:t>
            </w:r>
          </w:p>
        </w:tc>
      </w:tr>
      <w:tr w:rsidR="005121DD" w:rsidRPr="00F5314F" w14:paraId="5373AC1C" w14:textId="77777777" w:rsidTr="006B7F3D">
        <w:tc>
          <w:tcPr>
            <w:tcW w:w="2405" w:type="dxa"/>
            <w:shd w:val="clear" w:color="auto" w:fill="E7E6E6" w:themeFill="background2"/>
          </w:tcPr>
          <w:p w14:paraId="42D1E3E8" w14:textId="61231D31" w:rsidR="005121DD" w:rsidRPr="002E21E2" w:rsidRDefault="005121DD" w:rsidP="005121DD">
            <w:pPr>
              <w:spacing w:after="120" w:line="240" w:lineRule="auto"/>
              <w:rPr>
                <w:rFonts w:ascii="Times New Roman" w:eastAsia="Times New Roman" w:hAnsi="Times New Roman"/>
                <w:b/>
                <w:snapToGrid w:val="0"/>
                <w:color w:val="000000" w:themeColor="text1"/>
                <w:sz w:val="24"/>
                <w:szCs w:val="24"/>
              </w:rPr>
            </w:pPr>
            <w:r w:rsidRPr="002E21E2">
              <w:rPr>
                <w:rFonts w:ascii="Times New Roman" w:eastAsia="Times New Roman" w:hAnsi="Times New Roman"/>
                <w:b/>
                <w:color w:val="000000" w:themeColor="text1"/>
                <w:sz w:val="24"/>
                <w:szCs w:val="24"/>
                <w:lang w:eastAsia="bg-BG"/>
              </w:rPr>
              <w:t>Рециклиране</w:t>
            </w:r>
          </w:p>
        </w:tc>
        <w:tc>
          <w:tcPr>
            <w:tcW w:w="7371" w:type="dxa"/>
            <w:shd w:val="clear" w:color="auto" w:fill="F2F2F2" w:themeFill="background1" w:themeFillShade="F2"/>
          </w:tcPr>
          <w:p w14:paraId="0921096F" w14:textId="0F1F5751" w:rsidR="005121DD" w:rsidRPr="002E21E2" w:rsidRDefault="005121DD" w:rsidP="005121DD">
            <w:pPr>
              <w:spacing w:after="120" w:line="240" w:lineRule="auto"/>
              <w:jc w:val="both"/>
              <w:rPr>
                <w:rFonts w:ascii="Times New Roman" w:eastAsia="Times New Roman" w:hAnsi="Times New Roman"/>
                <w:snapToGrid w:val="0"/>
                <w:color w:val="000000" w:themeColor="text1"/>
                <w:sz w:val="24"/>
                <w:szCs w:val="24"/>
              </w:rPr>
            </w:pPr>
            <w:r w:rsidRPr="002E21E2">
              <w:rPr>
                <w:rFonts w:ascii="Times New Roman" w:eastAsia="Times New Roman" w:hAnsi="Times New Roman"/>
                <w:snapToGrid w:val="0"/>
                <w:color w:val="000000" w:themeColor="text1"/>
                <w:sz w:val="24"/>
                <w:szCs w:val="24"/>
              </w:rPr>
              <w:t>Всяка дейност по оползотворяване, чрез която отпадъчните материали се преработват в продукти, материали или вещества за първоначалната им цел или за други цели. То включва преработването на органични материали, но не включва оползотворяване за получаване на енергия и преработване в материали, които ще се използват като горива или за насипни дейности.</w:t>
            </w:r>
          </w:p>
        </w:tc>
      </w:tr>
      <w:tr w:rsidR="005121DD" w:rsidRPr="00F5314F" w14:paraId="747204C1" w14:textId="77777777" w:rsidTr="006B7F3D">
        <w:tc>
          <w:tcPr>
            <w:tcW w:w="2405" w:type="dxa"/>
            <w:shd w:val="clear" w:color="auto" w:fill="E6E6E6"/>
          </w:tcPr>
          <w:p w14:paraId="66D749F3" w14:textId="77777777" w:rsidR="005121DD" w:rsidRPr="00F5314F" w:rsidRDefault="005121DD" w:rsidP="005121D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Ръководител на Управляващия орган</w:t>
            </w:r>
          </w:p>
        </w:tc>
        <w:tc>
          <w:tcPr>
            <w:tcW w:w="7371" w:type="dxa"/>
            <w:shd w:val="clear" w:color="auto" w:fill="F3F3F3"/>
          </w:tcPr>
          <w:p w14:paraId="6C3CD2DB" w14:textId="77777777" w:rsidR="005121DD" w:rsidRPr="00F5314F" w:rsidRDefault="005121DD" w:rsidP="005121D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Ръководителят на администрацията, в рамките на чиято структура се намира Управляващия орган или упълномощеното от него длъжностно лице.</w:t>
            </w:r>
          </w:p>
        </w:tc>
      </w:tr>
      <w:tr w:rsidR="005121DD" w:rsidRPr="00F5314F" w14:paraId="641D2402" w14:textId="77777777" w:rsidTr="006B7F3D">
        <w:tc>
          <w:tcPr>
            <w:tcW w:w="2405" w:type="dxa"/>
            <w:shd w:val="clear" w:color="auto" w:fill="E6E6E6"/>
          </w:tcPr>
          <w:p w14:paraId="552D6137" w14:textId="77777777" w:rsidR="005121DD" w:rsidRPr="00F5314F" w:rsidRDefault="005121DD" w:rsidP="005121D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Свързани лица</w:t>
            </w:r>
          </w:p>
        </w:tc>
        <w:tc>
          <w:tcPr>
            <w:tcW w:w="7371" w:type="dxa"/>
            <w:shd w:val="clear" w:color="auto" w:fill="F3F3F3"/>
          </w:tcPr>
          <w:p w14:paraId="48F7539F" w14:textId="0E779E02" w:rsidR="005121DD" w:rsidRPr="00D430E1" w:rsidRDefault="005121DD" w:rsidP="005121DD">
            <w:pPr>
              <w:spacing w:after="120" w:line="240" w:lineRule="auto"/>
              <w:jc w:val="both"/>
              <w:rPr>
                <w:rFonts w:ascii="Times New Roman" w:eastAsia="Times New Roman" w:hAnsi="Times New Roman"/>
                <w:snapToGrid w:val="0"/>
                <w:sz w:val="24"/>
                <w:szCs w:val="24"/>
              </w:rPr>
            </w:pPr>
            <w:r w:rsidRPr="00D430E1">
              <w:rPr>
                <w:rFonts w:ascii="Times New Roman" w:eastAsia="Times New Roman" w:hAnsi="Times New Roman"/>
                <w:snapToGrid w:val="0"/>
                <w:sz w:val="24"/>
                <w:szCs w:val="24"/>
              </w:rPr>
              <w:t xml:space="preserve">(1) </w:t>
            </w:r>
            <w:r>
              <w:rPr>
                <w:rFonts w:ascii="Times New Roman" w:eastAsia="Times New Roman" w:hAnsi="Times New Roman"/>
                <w:snapToGrid w:val="0"/>
                <w:sz w:val="24"/>
                <w:szCs w:val="24"/>
              </w:rPr>
              <w:t>„</w:t>
            </w:r>
            <w:r w:rsidRPr="00D430E1">
              <w:rPr>
                <w:rFonts w:ascii="Times New Roman" w:eastAsia="Times New Roman" w:hAnsi="Times New Roman"/>
                <w:snapToGrid w:val="0"/>
                <w:sz w:val="24"/>
                <w:szCs w:val="24"/>
              </w:rPr>
              <w:t>Свързани лица</w:t>
            </w:r>
            <w:r w:rsidRPr="004223CA">
              <w:rPr>
                <w:rFonts w:ascii="Times New Roman" w:eastAsia="Times New Roman" w:hAnsi="Times New Roman"/>
                <w:snapToGrid w:val="0"/>
                <w:sz w:val="24"/>
                <w:szCs w:val="24"/>
              </w:rPr>
              <w:t>”</w:t>
            </w:r>
            <w:r w:rsidRPr="00F5314F">
              <w:rPr>
                <w:rFonts w:ascii="Times New Roman" w:hAnsi="Times New Roman"/>
                <w:sz w:val="24"/>
                <w:szCs w:val="24"/>
              </w:rPr>
              <w:t xml:space="preserve"> </w:t>
            </w:r>
            <w:r w:rsidRPr="00D430E1">
              <w:rPr>
                <w:rFonts w:ascii="Times New Roman" w:eastAsia="Times New Roman" w:hAnsi="Times New Roman"/>
                <w:snapToGrid w:val="0"/>
                <w:sz w:val="24"/>
                <w:szCs w:val="24"/>
              </w:rPr>
              <w:t>според §1 от Допълнителните разпоредби на Търговския закон са:</w:t>
            </w:r>
          </w:p>
          <w:p w14:paraId="534FD007" w14:textId="77777777" w:rsidR="005121DD" w:rsidRPr="00D430E1" w:rsidRDefault="005121DD" w:rsidP="005121DD">
            <w:pPr>
              <w:spacing w:after="120" w:line="240" w:lineRule="auto"/>
              <w:jc w:val="both"/>
              <w:rPr>
                <w:rFonts w:ascii="Times New Roman" w:eastAsia="Times New Roman" w:hAnsi="Times New Roman"/>
                <w:snapToGrid w:val="0"/>
                <w:sz w:val="24"/>
                <w:szCs w:val="24"/>
              </w:rPr>
            </w:pPr>
            <w:r w:rsidRPr="00D430E1">
              <w:rPr>
                <w:rFonts w:ascii="Times New Roman" w:eastAsia="Times New Roman" w:hAnsi="Times New Roman"/>
                <w:snapToGrid w:val="0"/>
                <w:sz w:val="24"/>
                <w:szCs w:val="24"/>
              </w:rPr>
              <w:t>1. съпрузите, роднините по права линия - без ограничения, по съребрена линия - до четвърта степен включително, и роднините по сватовство - до трета степен включително;</w:t>
            </w:r>
          </w:p>
          <w:p w14:paraId="37EC9182" w14:textId="77777777" w:rsidR="005121DD" w:rsidRPr="00D430E1" w:rsidRDefault="005121DD" w:rsidP="005121DD">
            <w:pPr>
              <w:spacing w:after="120" w:line="240" w:lineRule="auto"/>
              <w:jc w:val="both"/>
              <w:rPr>
                <w:rFonts w:ascii="Times New Roman" w:eastAsia="Times New Roman" w:hAnsi="Times New Roman"/>
                <w:snapToGrid w:val="0"/>
                <w:sz w:val="24"/>
                <w:szCs w:val="24"/>
              </w:rPr>
            </w:pPr>
            <w:r w:rsidRPr="00D430E1">
              <w:rPr>
                <w:rFonts w:ascii="Times New Roman" w:eastAsia="Times New Roman" w:hAnsi="Times New Roman"/>
                <w:snapToGrid w:val="0"/>
                <w:sz w:val="24"/>
                <w:szCs w:val="24"/>
              </w:rPr>
              <w:t>2. работодател и работник;</w:t>
            </w:r>
          </w:p>
          <w:p w14:paraId="0996F076" w14:textId="77777777" w:rsidR="005121DD" w:rsidRPr="00D430E1" w:rsidRDefault="005121DD" w:rsidP="005121DD">
            <w:pPr>
              <w:spacing w:after="120" w:line="240" w:lineRule="auto"/>
              <w:jc w:val="both"/>
              <w:rPr>
                <w:rFonts w:ascii="Times New Roman" w:eastAsia="Times New Roman" w:hAnsi="Times New Roman"/>
                <w:snapToGrid w:val="0"/>
                <w:sz w:val="24"/>
                <w:szCs w:val="24"/>
              </w:rPr>
            </w:pPr>
            <w:r w:rsidRPr="00D430E1">
              <w:rPr>
                <w:rFonts w:ascii="Times New Roman" w:eastAsia="Times New Roman" w:hAnsi="Times New Roman"/>
                <w:snapToGrid w:val="0"/>
                <w:sz w:val="24"/>
                <w:szCs w:val="24"/>
              </w:rPr>
              <w:t>3. лицата, едното от които участва в управлението на дружеството на другото;</w:t>
            </w:r>
          </w:p>
          <w:p w14:paraId="7E93963C" w14:textId="77777777" w:rsidR="005121DD" w:rsidRPr="00D430E1" w:rsidRDefault="005121DD" w:rsidP="005121DD">
            <w:pPr>
              <w:spacing w:after="120" w:line="240" w:lineRule="auto"/>
              <w:jc w:val="both"/>
              <w:rPr>
                <w:rFonts w:ascii="Times New Roman" w:eastAsia="Times New Roman" w:hAnsi="Times New Roman"/>
                <w:snapToGrid w:val="0"/>
                <w:sz w:val="24"/>
                <w:szCs w:val="24"/>
              </w:rPr>
            </w:pPr>
            <w:r w:rsidRPr="00D430E1">
              <w:rPr>
                <w:rFonts w:ascii="Times New Roman" w:eastAsia="Times New Roman" w:hAnsi="Times New Roman"/>
                <w:snapToGrid w:val="0"/>
                <w:sz w:val="24"/>
                <w:szCs w:val="24"/>
              </w:rPr>
              <w:t>4. съдружниците;</w:t>
            </w:r>
          </w:p>
          <w:p w14:paraId="7EF784EA" w14:textId="77777777" w:rsidR="005121DD" w:rsidRPr="00D430E1" w:rsidRDefault="005121DD" w:rsidP="005121DD">
            <w:pPr>
              <w:spacing w:after="120" w:line="240" w:lineRule="auto"/>
              <w:jc w:val="both"/>
              <w:rPr>
                <w:rFonts w:ascii="Times New Roman" w:eastAsia="Times New Roman" w:hAnsi="Times New Roman"/>
                <w:snapToGrid w:val="0"/>
                <w:sz w:val="24"/>
                <w:szCs w:val="24"/>
              </w:rPr>
            </w:pPr>
            <w:r w:rsidRPr="00D430E1">
              <w:rPr>
                <w:rFonts w:ascii="Times New Roman" w:eastAsia="Times New Roman" w:hAnsi="Times New Roman"/>
                <w:snapToGrid w:val="0"/>
                <w:sz w:val="24"/>
                <w:szCs w:val="24"/>
              </w:rPr>
              <w:t>5. дружество и лице, което притежава повече от 5 на сто от дяловете и акциите, издадени с право на глас в дружеството;</w:t>
            </w:r>
          </w:p>
          <w:p w14:paraId="78B2EE6E" w14:textId="77777777" w:rsidR="005121DD" w:rsidRPr="00D430E1" w:rsidRDefault="005121DD" w:rsidP="005121DD">
            <w:pPr>
              <w:spacing w:after="120" w:line="240" w:lineRule="auto"/>
              <w:jc w:val="both"/>
              <w:rPr>
                <w:rFonts w:ascii="Times New Roman" w:eastAsia="Times New Roman" w:hAnsi="Times New Roman"/>
                <w:snapToGrid w:val="0"/>
                <w:sz w:val="24"/>
                <w:szCs w:val="24"/>
              </w:rPr>
            </w:pPr>
            <w:r w:rsidRPr="00D430E1">
              <w:rPr>
                <w:rFonts w:ascii="Times New Roman" w:eastAsia="Times New Roman" w:hAnsi="Times New Roman"/>
                <w:snapToGrid w:val="0"/>
                <w:sz w:val="24"/>
                <w:szCs w:val="24"/>
              </w:rPr>
              <w:t>6. лицата, чиято дейност се контролира пряко или косвено от трето лице;</w:t>
            </w:r>
          </w:p>
          <w:p w14:paraId="0371E1AF" w14:textId="77777777" w:rsidR="005121DD" w:rsidRPr="00D430E1" w:rsidRDefault="005121DD" w:rsidP="005121DD">
            <w:pPr>
              <w:spacing w:after="120" w:line="240" w:lineRule="auto"/>
              <w:jc w:val="both"/>
              <w:rPr>
                <w:rFonts w:ascii="Times New Roman" w:eastAsia="Times New Roman" w:hAnsi="Times New Roman"/>
                <w:snapToGrid w:val="0"/>
                <w:sz w:val="24"/>
                <w:szCs w:val="24"/>
              </w:rPr>
            </w:pPr>
            <w:r w:rsidRPr="00D430E1">
              <w:rPr>
                <w:rFonts w:ascii="Times New Roman" w:eastAsia="Times New Roman" w:hAnsi="Times New Roman"/>
                <w:snapToGrid w:val="0"/>
                <w:sz w:val="24"/>
                <w:szCs w:val="24"/>
              </w:rPr>
              <w:t>7. лицата, които съвместно контролират пряко или косвено трето лице;</w:t>
            </w:r>
          </w:p>
          <w:p w14:paraId="42EBA375" w14:textId="77777777" w:rsidR="005121DD" w:rsidRPr="00D430E1" w:rsidRDefault="005121DD" w:rsidP="005121DD">
            <w:pPr>
              <w:spacing w:after="120" w:line="240" w:lineRule="auto"/>
              <w:jc w:val="both"/>
              <w:rPr>
                <w:rFonts w:ascii="Times New Roman" w:eastAsia="Times New Roman" w:hAnsi="Times New Roman"/>
                <w:snapToGrid w:val="0"/>
                <w:sz w:val="24"/>
                <w:szCs w:val="24"/>
              </w:rPr>
            </w:pPr>
            <w:r w:rsidRPr="00D430E1">
              <w:rPr>
                <w:rFonts w:ascii="Times New Roman" w:eastAsia="Times New Roman" w:hAnsi="Times New Roman"/>
                <w:snapToGrid w:val="0"/>
                <w:sz w:val="24"/>
                <w:szCs w:val="24"/>
              </w:rPr>
              <w:lastRenderedPageBreak/>
              <w:t>8. лицата, едното от които е търговски представител на другото;</w:t>
            </w:r>
          </w:p>
          <w:p w14:paraId="64EA91C6" w14:textId="77777777" w:rsidR="005121DD" w:rsidRPr="00D430E1" w:rsidRDefault="005121DD" w:rsidP="005121DD">
            <w:pPr>
              <w:spacing w:after="120" w:line="240" w:lineRule="auto"/>
              <w:jc w:val="both"/>
              <w:rPr>
                <w:rFonts w:ascii="Times New Roman" w:eastAsia="Times New Roman" w:hAnsi="Times New Roman"/>
                <w:snapToGrid w:val="0"/>
                <w:sz w:val="24"/>
                <w:szCs w:val="24"/>
              </w:rPr>
            </w:pPr>
            <w:r w:rsidRPr="00D430E1">
              <w:rPr>
                <w:rFonts w:ascii="Times New Roman" w:eastAsia="Times New Roman" w:hAnsi="Times New Roman"/>
                <w:snapToGrid w:val="0"/>
                <w:sz w:val="24"/>
                <w:szCs w:val="24"/>
              </w:rPr>
              <w:t>9. лицата, едното от които е направило дарение в полза на другото.</w:t>
            </w:r>
          </w:p>
          <w:p w14:paraId="15E743B5" w14:textId="2A6DD5B6" w:rsidR="005121DD" w:rsidRPr="00D430E1" w:rsidRDefault="005121DD" w:rsidP="005121DD">
            <w:pPr>
              <w:spacing w:after="120" w:line="240" w:lineRule="auto"/>
              <w:jc w:val="both"/>
              <w:rPr>
                <w:rFonts w:ascii="Times New Roman" w:eastAsia="Times New Roman" w:hAnsi="Times New Roman"/>
                <w:snapToGrid w:val="0"/>
                <w:sz w:val="24"/>
                <w:szCs w:val="24"/>
              </w:rPr>
            </w:pPr>
            <w:r w:rsidRPr="00D430E1">
              <w:rPr>
                <w:rFonts w:ascii="Times New Roman" w:eastAsia="Times New Roman" w:hAnsi="Times New Roman"/>
                <w:snapToGrid w:val="0"/>
                <w:sz w:val="24"/>
                <w:szCs w:val="24"/>
              </w:rPr>
              <w:t xml:space="preserve">(2) </w:t>
            </w:r>
            <w:r w:rsidRPr="004223CA">
              <w:rPr>
                <w:rFonts w:ascii="Times New Roman" w:eastAsia="Times New Roman" w:hAnsi="Times New Roman"/>
                <w:snapToGrid w:val="0"/>
                <w:sz w:val="24"/>
                <w:szCs w:val="24"/>
              </w:rPr>
              <w:t xml:space="preserve">„Свързани лица” </w:t>
            </w:r>
            <w:r w:rsidRPr="00D430E1">
              <w:rPr>
                <w:rFonts w:ascii="Times New Roman" w:eastAsia="Times New Roman" w:hAnsi="Times New Roman"/>
                <w:snapToGrid w:val="0"/>
                <w:sz w:val="24"/>
                <w:szCs w:val="24"/>
              </w:rPr>
              <w:t xml:space="preserve"> са и лицата, които участват пряко или косвено в управлението, контрола или капитала на друго лице или лица, поради което между тях могат да се уговарят условия, различни от обичайните.</w:t>
            </w:r>
          </w:p>
        </w:tc>
      </w:tr>
      <w:tr w:rsidR="005121DD" w:rsidRPr="00F5314F" w14:paraId="14A025ED" w14:textId="77777777" w:rsidTr="006B7F3D">
        <w:tc>
          <w:tcPr>
            <w:tcW w:w="2405" w:type="dxa"/>
            <w:shd w:val="clear" w:color="auto" w:fill="E6E6E6"/>
          </w:tcPr>
          <w:p w14:paraId="4CFB55D7" w14:textId="77777777" w:rsidR="005121DD" w:rsidRPr="00F5314F" w:rsidRDefault="005121DD" w:rsidP="005121D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Сделка между несвързани лица</w:t>
            </w:r>
          </w:p>
        </w:tc>
        <w:tc>
          <w:tcPr>
            <w:tcW w:w="7371" w:type="dxa"/>
            <w:shd w:val="clear" w:color="auto" w:fill="F3F3F3"/>
          </w:tcPr>
          <w:p w14:paraId="6118EF45" w14:textId="77777777" w:rsidR="005121DD" w:rsidRPr="00F5314F" w:rsidRDefault="005121DD" w:rsidP="005121D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Сделка между несвързани лица означава, че условията на сделката между договарящите се страни не се различават от условията, които биха били договорени между независими предприятия, и не съдържат елемент на колизия. Всяка сделка, която е резултат от открита, прозрачна и недискриминационна процедура, се разглежда като съответстваща на принципа на сделката между несвързани лица.</w:t>
            </w:r>
          </w:p>
        </w:tc>
      </w:tr>
      <w:tr w:rsidR="005121DD" w:rsidRPr="00F5314F" w14:paraId="31E8CB30" w14:textId="77777777" w:rsidTr="006B7F3D">
        <w:tc>
          <w:tcPr>
            <w:tcW w:w="2405" w:type="dxa"/>
            <w:shd w:val="clear" w:color="auto" w:fill="E6E6E6"/>
          </w:tcPr>
          <w:p w14:paraId="5EDBB23D" w14:textId="77777777" w:rsidR="005121DD" w:rsidRPr="00F5314F" w:rsidRDefault="005121DD" w:rsidP="005121D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Сектор на рибарството и аквакултурите</w:t>
            </w:r>
          </w:p>
        </w:tc>
        <w:tc>
          <w:tcPr>
            <w:tcW w:w="7371" w:type="dxa"/>
            <w:shd w:val="clear" w:color="auto" w:fill="F3F3F3"/>
          </w:tcPr>
          <w:p w14:paraId="2D51B065" w14:textId="4E81C55E" w:rsidR="005121DD" w:rsidRPr="00F5314F" w:rsidRDefault="005121DD" w:rsidP="005121D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чл. 5, буква г) на Регламент (ЕС) № 1379/2013 на Европейския парламент и на Съвета от 11 декември 2013 година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„сектор на рибарството и аквакултурите“ означава секторът на икономиката, който включва всички дейности по производство, преработка и предлагане на пазара на продукти от риболов или аквакултури.</w:t>
            </w:r>
          </w:p>
        </w:tc>
      </w:tr>
      <w:tr w:rsidR="005121DD" w:rsidRPr="00F5314F" w14:paraId="60F4B006" w14:textId="77777777" w:rsidTr="006B7F3D">
        <w:tc>
          <w:tcPr>
            <w:tcW w:w="2405" w:type="dxa"/>
            <w:shd w:val="clear" w:color="auto" w:fill="E6E6E6"/>
          </w:tcPr>
          <w:p w14:paraId="4AC7C8A1" w14:textId="77777777" w:rsidR="005121DD" w:rsidRPr="00F5314F" w:rsidRDefault="005121DD" w:rsidP="005121D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Селскостопански продукт</w:t>
            </w:r>
          </w:p>
        </w:tc>
        <w:tc>
          <w:tcPr>
            <w:tcW w:w="7371" w:type="dxa"/>
            <w:shd w:val="clear" w:color="auto" w:fill="F3F3F3"/>
          </w:tcPr>
          <w:p w14:paraId="6D689A4F" w14:textId="71130B51" w:rsidR="005121DD" w:rsidRPr="00F5314F" w:rsidRDefault="005121DD" w:rsidP="005121D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чл. 2, пар. 11 от Регламент (ЕС) № 651/2014</w:t>
            </w:r>
            <w:r w:rsidRPr="00F5314F">
              <w:rPr>
                <w:rFonts w:ascii="Times New Roman" w:hAnsi="Times New Roman"/>
                <w:sz w:val="24"/>
                <w:szCs w:val="24"/>
              </w:rPr>
              <w:t xml:space="preserve"> и </w:t>
            </w:r>
            <w:r w:rsidRPr="00F5314F">
              <w:rPr>
                <w:rFonts w:ascii="Times New Roman" w:eastAsia="Times New Roman" w:hAnsi="Times New Roman"/>
                <w:snapToGrid w:val="0"/>
                <w:sz w:val="24"/>
                <w:szCs w:val="24"/>
              </w:rPr>
              <w:t xml:space="preserve">чл. 2, пар. 1, буква а) от Регламент (ЕО) № </w:t>
            </w:r>
            <w:r w:rsidRPr="00F80849">
              <w:rPr>
                <w:rFonts w:ascii="Times New Roman" w:eastAsia="Times New Roman" w:hAnsi="Times New Roman"/>
                <w:snapToGrid w:val="0"/>
                <w:sz w:val="24"/>
                <w:szCs w:val="24"/>
              </w:rPr>
              <w:t>2023/2831</w:t>
            </w:r>
            <w:r w:rsidRPr="00F5314F">
              <w:rPr>
                <w:rFonts w:ascii="Times New Roman" w:eastAsia="Times New Roman" w:hAnsi="Times New Roman"/>
                <w:snapToGrid w:val="0"/>
                <w:sz w:val="24"/>
                <w:szCs w:val="24"/>
              </w:rPr>
              <w:t>, „селскостопански продукт“ означава продукти, изброени в Приложение № I към Договора за функционирането на Европейския съюз</w:t>
            </w:r>
            <w:r>
              <w:rPr>
                <w:rFonts w:ascii="Times New Roman" w:eastAsia="Times New Roman" w:hAnsi="Times New Roman"/>
                <w:snapToGrid w:val="0"/>
                <w:sz w:val="24"/>
                <w:szCs w:val="24"/>
              </w:rPr>
              <w:t xml:space="preserve"> (Приложение 11)</w:t>
            </w:r>
            <w:r w:rsidRPr="00F5314F">
              <w:rPr>
                <w:rFonts w:ascii="Times New Roman" w:eastAsia="Times New Roman" w:hAnsi="Times New Roman"/>
                <w:snapToGrid w:val="0"/>
                <w:sz w:val="24"/>
                <w:szCs w:val="24"/>
              </w:rPr>
              <w:t>, с изключение на продукти на рибарството и аквакултурите, изброени в Приложение I към Регламент (ЕС) № 1379/2013 на Европейския парламент и на Съвета от 11 декември 2013 г.</w:t>
            </w:r>
            <w:r w:rsidRPr="00F5314F">
              <w:t xml:space="preserve"> </w:t>
            </w:r>
            <w:r w:rsidRPr="00F5314F">
              <w:rPr>
                <w:rFonts w:ascii="Times New Roman" w:eastAsia="Times New Roman" w:hAnsi="Times New Roman"/>
                <w:snapToGrid w:val="0"/>
                <w:sz w:val="24"/>
                <w:szCs w:val="24"/>
              </w:rPr>
              <w:t>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w:t>
            </w:r>
          </w:p>
        </w:tc>
      </w:tr>
      <w:tr w:rsidR="005121DD" w:rsidRPr="00F5314F" w14:paraId="7564ADBE" w14:textId="77777777" w:rsidTr="006B7F3D">
        <w:tc>
          <w:tcPr>
            <w:tcW w:w="2405" w:type="dxa"/>
            <w:shd w:val="clear" w:color="auto" w:fill="E6E6E6"/>
          </w:tcPr>
          <w:p w14:paraId="2611C29A" w14:textId="77777777" w:rsidR="005121DD" w:rsidRPr="00F5314F" w:rsidRDefault="005121DD" w:rsidP="005121D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Стоманодобивен сектор</w:t>
            </w:r>
          </w:p>
        </w:tc>
        <w:tc>
          <w:tcPr>
            <w:tcW w:w="7371" w:type="dxa"/>
            <w:shd w:val="clear" w:color="auto" w:fill="F3F3F3"/>
          </w:tcPr>
          <w:p w14:paraId="1263616B" w14:textId="272F3BD6" w:rsidR="005121DD" w:rsidRPr="00F5314F" w:rsidRDefault="005121DD" w:rsidP="005121D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чл. 2, пар. 43 от Регламент (ЕО) № 651/2014</w:t>
            </w:r>
            <w:r w:rsidRPr="00F5314F">
              <w:rPr>
                <w:rFonts w:ascii="Times New Roman" w:hAnsi="Times New Roman"/>
                <w:sz w:val="24"/>
                <w:szCs w:val="24"/>
              </w:rPr>
              <w:t xml:space="preserve"> </w:t>
            </w:r>
            <w:r>
              <w:rPr>
                <w:rFonts w:ascii="Times New Roman" w:eastAsia="Times New Roman" w:hAnsi="Times New Roman"/>
                <w:snapToGrid w:val="0"/>
                <w:sz w:val="24"/>
                <w:szCs w:val="24"/>
              </w:rPr>
              <w:t>„стоманодобивен сектор</w:t>
            </w:r>
            <w:r w:rsidRPr="001D1FFF">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означава производството на едно или повече от следните изделия:</w:t>
            </w:r>
          </w:p>
          <w:p w14:paraId="099D06B0" w14:textId="329520E3" w:rsidR="005121DD" w:rsidRPr="00F5314F" w:rsidRDefault="005121DD" w:rsidP="005121DD">
            <w:pPr>
              <w:spacing w:after="120" w:line="240" w:lineRule="auto"/>
              <w:jc w:val="both"/>
              <w:rPr>
                <w:rFonts w:ascii="Times New Roman" w:eastAsia="Times New Roman" w:hAnsi="Times New Roman"/>
                <w:snapToGrid w:val="0"/>
                <w:sz w:val="24"/>
                <w:szCs w:val="24"/>
                <w:lang w:val="bg"/>
              </w:rPr>
            </w:pPr>
            <w:r w:rsidRPr="00F5314F">
              <w:rPr>
                <w:rFonts w:ascii="Times New Roman" w:eastAsia="Times New Roman" w:hAnsi="Times New Roman"/>
                <w:snapToGrid w:val="0"/>
                <w:sz w:val="24"/>
                <w:szCs w:val="24"/>
                <w:lang w:val="bg"/>
              </w:rPr>
              <w:t xml:space="preserve">а) необработен чугун и феросплави: необработен чугун за производство на стомана, леярски чугун и друг необработен чугун, огледални </w:t>
            </w:r>
            <w:r>
              <w:rPr>
                <w:rFonts w:ascii="Times New Roman" w:eastAsia="Times New Roman" w:hAnsi="Times New Roman"/>
                <w:snapToGrid w:val="0"/>
                <w:sz w:val="24"/>
                <w:szCs w:val="24"/>
                <w:lang w:val="bg"/>
              </w:rPr>
              <w:t>„шпигел</w:t>
            </w:r>
            <w:r w:rsidRPr="001D1FFF">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lang w:val="bg"/>
              </w:rPr>
              <w:t xml:space="preserve"> чугуни и високовъглероден фероманган, без да се включват други феросплави;</w:t>
            </w:r>
          </w:p>
          <w:p w14:paraId="681645FB" w14:textId="77777777" w:rsidR="005121DD" w:rsidRPr="00F5314F" w:rsidRDefault="005121DD" w:rsidP="005121DD">
            <w:pPr>
              <w:spacing w:after="120" w:line="240" w:lineRule="auto"/>
              <w:jc w:val="both"/>
              <w:rPr>
                <w:rFonts w:ascii="Times New Roman" w:eastAsia="Times New Roman" w:hAnsi="Times New Roman"/>
                <w:snapToGrid w:val="0"/>
                <w:sz w:val="24"/>
                <w:szCs w:val="24"/>
                <w:lang w:val="bg"/>
              </w:rPr>
            </w:pPr>
            <w:r w:rsidRPr="00F5314F">
              <w:rPr>
                <w:rFonts w:ascii="Times New Roman" w:eastAsia="Times New Roman" w:hAnsi="Times New Roman"/>
                <w:snapToGrid w:val="0"/>
                <w:sz w:val="24"/>
                <w:szCs w:val="24"/>
                <w:lang w:val="bg"/>
              </w:rPr>
              <w:t xml:space="preserve">б) суровини и полуготови продукти от желязо, обикновена стомана или специална стомана: лята стомана, на блокове или не, включително блокове за коване на полуготови изделия: блуми, кръгли блокове и сляби; листове и листове покалаена ламарина, горещо валцувани </w:t>
            </w:r>
            <w:proofErr w:type="spellStart"/>
            <w:r w:rsidRPr="00F5314F">
              <w:rPr>
                <w:rFonts w:ascii="Times New Roman" w:eastAsia="Times New Roman" w:hAnsi="Times New Roman"/>
                <w:snapToGrid w:val="0"/>
                <w:sz w:val="24"/>
                <w:szCs w:val="24"/>
                <w:lang w:val="bg"/>
              </w:rPr>
              <w:t>коилси</w:t>
            </w:r>
            <w:proofErr w:type="spellEnd"/>
            <w:r w:rsidRPr="00F5314F">
              <w:rPr>
                <w:rFonts w:ascii="Times New Roman" w:eastAsia="Times New Roman" w:hAnsi="Times New Roman"/>
                <w:snapToGrid w:val="0"/>
                <w:sz w:val="24"/>
                <w:szCs w:val="24"/>
                <w:lang w:val="bg"/>
              </w:rPr>
              <w:t>, с изключение на производство на течна стомана за леене от малки и средни леярни;</w:t>
            </w:r>
          </w:p>
          <w:p w14:paraId="3987A94B" w14:textId="77777777" w:rsidR="005121DD" w:rsidRPr="00F5314F" w:rsidRDefault="005121DD" w:rsidP="005121DD">
            <w:pPr>
              <w:spacing w:after="120" w:line="240" w:lineRule="auto"/>
              <w:jc w:val="both"/>
              <w:rPr>
                <w:rFonts w:ascii="Times New Roman" w:eastAsia="Times New Roman" w:hAnsi="Times New Roman"/>
                <w:snapToGrid w:val="0"/>
                <w:sz w:val="24"/>
                <w:szCs w:val="24"/>
                <w:lang w:val="bg"/>
              </w:rPr>
            </w:pPr>
            <w:r w:rsidRPr="00F5314F">
              <w:rPr>
                <w:rFonts w:ascii="Times New Roman" w:eastAsia="Times New Roman" w:hAnsi="Times New Roman"/>
                <w:snapToGrid w:val="0"/>
                <w:sz w:val="24"/>
                <w:szCs w:val="24"/>
                <w:lang w:val="bg"/>
              </w:rPr>
              <w:t xml:space="preserve">в) готови продукти след гореща обработка на желязо, обикновена стомана или специална стомана: релси, траверси, сглобяеми плоскости, единични плоскости, профили, тежки секции с дебелина </w:t>
            </w:r>
            <w:r w:rsidRPr="00F5314F">
              <w:rPr>
                <w:rFonts w:ascii="Times New Roman" w:eastAsia="Times New Roman" w:hAnsi="Times New Roman"/>
                <w:snapToGrid w:val="0"/>
                <w:sz w:val="24"/>
                <w:szCs w:val="24"/>
                <w:lang w:val="bg"/>
              </w:rPr>
              <w:lastRenderedPageBreak/>
              <w:t xml:space="preserve">80 </w:t>
            </w:r>
            <w:r w:rsidRPr="00F5314F">
              <w:rPr>
                <w:rFonts w:ascii="Times New Roman" w:eastAsia="Times New Roman" w:hAnsi="Times New Roman"/>
                <w:snapToGrid w:val="0"/>
                <w:sz w:val="24"/>
                <w:szCs w:val="24"/>
                <w:lang w:val="en-US"/>
              </w:rPr>
              <w:t>mm</w:t>
            </w:r>
            <w:r w:rsidRPr="00D430E1">
              <w:rPr>
                <w:rFonts w:ascii="Times New Roman" w:eastAsia="Times New Roman" w:hAnsi="Times New Roman"/>
                <w:snapToGrid w:val="0"/>
                <w:sz w:val="24"/>
                <w:szCs w:val="24"/>
                <w:lang w:val="bg"/>
              </w:rPr>
              <w:t xml:space="preserve"> </w:t>
            </w:r>
            <w:r w:rsidRPr="00F5314F">
              <w:rPr>
                <w:rFonts w:ascii="Times New Roman" w:eastAsia="Times New Roman" w:hAnsi="Times New Roman"/>
                <w:snapToGrid w:val="0"/>
                <w:sz w:val="24"/>
                <w:szCs w:val="24"/>
                <w:lang w:val="bg"/>
              </w:rPr>
              <w:t xml:space="preserve">и по-голяма, валцувани плоскости, профили и секции с дебелина по-малко от 80 </w:t>
            </w:r>
            <w:r w:rsidRPr="00F5314F">
              <w:rPr>
                <w:rFonts w:ascii="Times New Roman" w:eastAsia="Times New Roman" w:hAnsi="Times New Roman"/>
                <w:snapToGrid w:val="0"/>
                <w:sz w:val="24"/>
                <w:szCs w:val="24"/>
                <w:lang w:val="en-US"/>
              </w:rPr>
              <w:t>mm</w:t>
            </w:r>
            <w:r w:rsidRPr="00D430E1">
              <w:rPr>
                <w:rFonts w:ascii="Times New Roman" w:eastAsia="Times New Roman" w:hAnsi="Times New Roman"/>
                <w:snapToGrid w:val="0"/>
                <w:sz w:val="24"/>
                <w:szCs w:val="24"/>
                <w:lang w:val="bg"/>
              </w:rPr>
              <w:t xml:space="preserve"> </w:t>
            </w:r>
            <w:r w:rsidRPr="00F5314F">
              <w:rPr>
                <w:rFonts w:ascii="Times New Roman" w:eastAsia="Times New Roman" w:hAnsi="Times New Roman"/>
                <w:snapToGrid w:val="0"/>
                <w:sz w:val="24"/>
                <w:szCs w:val="24"/>
                <w:lang w:val="bg"/>
              </w:rPr>
              <w:t xml:space="preserve">и плоскости по-тънки от 150 </w:t>
            </w:r>
            <w:r w:rsidRPr="00F5314F">
              <w:rPr>
                <w:rFonts w:ascii="Times New Roman" w:eastAsia="Times New Roman" w:hAnsi="Times New Roman"/>
                <w:snapToGrid w:val="0"/>
                <w:sz w:val="24"/>
                <w:szCs w:val="24"/>
                <w:lang w:val="en-US"/>
              </w:rPr>
              <w:t>mm</w:t>
            </w:r>
            <w:r w:rsidRPr="00D430E1">
              <w:rPr>
                <w:rFonts w:ascii="Times New Roman" w:eastAsia="Times New Roman" w:hAnsi="Times New Roman"/>
                <w:snapToGrid w:val="0"/>
                <w:sz w:val="24"/>
                <w:szCs w:val="24"/>
                <w:lang w:val="bg"/>
              </w:rPr>
              <w:t xml:space="preserve">, </w:t>
            </w:r>
            <w:r w:rsidRPr="00F5314F">
              <w:rPr>
                <w:rFonts w:ascii="Times New Roman" w:eastAsia="Times New Roman" w:hAnsi="Times New Roman"/>
                <w:snapToGrid w:val="0"/>
                <w:sz w:val="24"/>
                <w:szCs w:val="24"/>
                <w:lang w:val="bg"/>
              </w:rPr>
              <w:t xml:space="preserve">тел, тръби с кръгло сечение и други профили, горещо валцувани вериги и ленти (включително ленти за тръби), плосковалцовани продукти и листове с дебелина 3 </w:t>
            </w:r>
            <w:r w:rsidRPr="00F5314F">
              <w:rPr>
                <w:rFonts w:ascii="Times New Roman" w:eastAsia="Times New Roman" w:hAnsi="Times New Roman"/>
                <w:snapToGrid w:val="0"/>
                <w:sz w:val="24"/>
                <w:szCs w:val="24"/>
                <w:lang w:val="en-US"/>
              </w:rPr>
              <w:t>mm</w:t>
            </w:r>
            <w:r w:rsidRPr="00D430E1">
              <w:rPr>
                <w:rFonts w:ascii="Times New Roman" w:eastAsia="Times New Roman" w:hAnsi="Times New Roman"/>
                <w:snapToGrid w:val="0"/>
                <w:sz w:val="24"/>
                <w:szCs w:val="24"/>
                <w:lang w:val="bg"/>
              </w:rPr>
              <w:t xml:space="preserve"> </w:t>
            </w:r>
            <w:r w:rsidRPr="00F5314F">
              <w:rPr>
                <w:rFonts w:ascii="Times New Roman" w:eastAsia="Times New Roman" w:hAnsi="Times New Roman"/>
                <w:snapToGrid w:val="0"/>
                <w:sz w:val="24"/>
                <w:szCs w:val="24"/>
                <w:lang w:val="bg"/>
              </w:rPr>
              <w:t xml:space="preserve">или повече, плосковалцовани продукти с универсално предназначение с дебелина 150 </w:t>
            </w:r>
            <w:r w:rsidRPr="00F5314F">
              <w:rPr>
                <w:rFonts w:ascii="Times New Roman" w:eastAsia="Times New Roman" w:hAnsi="Times New Roman"/>
                <w:snapToGrid w:val="0"/>
                <w:sz w:val="24"/>
                <w:szCs w:val="24"/>
                <w:lang w:val="en-US"/>
              </w:rPr>
              <w:t>mm</w:t>
            </w:r>
            <w:r w:rsidRPr="00D430E1">
              <w:rPr>
                <w:rFonts w:ascii="Times New Roman" w:eastAsia="Times New Roman" w:hAnsi="Times New Roman"/>
                <w:snapToGrid w:val="0"/>
                <w:sz w:val="24"/>
                <w:szCs w:val="24"/>
                <w:lang w:val="bg"/>
              </w:rPr>
              <w:t xml:space="preserve"> </w:t>
            </w:r>
            <w:r w:rsidRPr="00F5314F">
              <w:rPr>
                <w:rFonts w:ascii="Times New Roman" w:eastAsia="Times New Roman" w:hAnsi="Times New Roman"/>
                <w:snapToGrid w:val="0"/>
                <w:sz w:val="24"/>
                <w:szCs w:val="24"/>
                <w:lang w:val="bg"/>
              </w:rPr>
              <w:t>или повече, с изключение на тел и продукти от тел, полирани пръти и железни отливки;</w:t>
            </w:r>
          </w:p>
          <w:p w14:paraId="2476666F" w14:textId="77777777" w:rsidR="005121DD" w:rsidRPr="00F5314F" w:rsidRDefault="005121DD" w:rsidP="005121DD">
            <w:pPr>
              <w:spacing w:after="120" w:line="240" w:lineRule="auto"/>
              <w:jc w:val="both"/>
              <w:rPr>
                <w:rFonts w:ascii="Times New Roman" w:eastAsia="Times New Roman" w:hAnsi="Times New Roman"/>
                <w:snapToGrid w:val="0"/>
                <w:sz w:val="24"/>
                <w:szCs w:val="24"/>
                <w:lang w:val="bg"/>
              </w:rPr>
            </w:pPr>
            <w:r w:rsidRPr="00F5314F">
              <w:rPr>
                <w:rFonts w:ascii="Times New Roman" w:eastAsia="Times New Roman" w:hAnsi="Times New Roman"/>
                <w:snapToGrid w:val="0"/>
                <w:sz w:val="24"/>
                <w:szCs w:val="24"/>
                <w:lang w:val="bg"/>
              </w:rPr>
              <w:t xml:space="preserve">г) готови продукти след студена обработка на желязо: покалаена ламарина, матова ламарина, черна ламарина, галванизирани или с други видове покритие листове ламарина, студено валцувани листове, електролитни листове, ленти за покалаена ламарина, студено валцувани плоскости, във форма на </w:t>
            </w:r>
            <w:proofErr w:type="spellStart"/>
            <w:r w:rsidRPr="00F5314F">
              <w:rPr>
                <w:rFonts w:ascii="Times New Roman" w:eastAsia="Times New Roman" w:hAnsi="Times New Roman"/>
                <w:snapToGrid w:val="0"/>
                <w:sz w:val="24"/>
                <w:szCs w:val="24"/>
                <w:lang w:val="bg"/>
              </w:rPr>
              <w:t>коилси</w:t>
            </w:r>
            <w:proofErr w:type="spellEnd"/>
            <w:r w:rsidRPr="00F5314F">
              <w:rPr>
                <w:rFonts w:ascii="Times New Roman" w:eastAsia="Times New Roman" w:hAnsi="Times New Roman"/>
                <w:snapToGrid w:val="0"/>
                <w:sz w:val="24"/>
                <w:szCs w:val="24"/>
                <w:lang w:val="bg"/>
              </w:rPr>
              <w:t xml:space="preserve"> или ленти;</w:t>
            </w:r>
          </w:p>
          <w:p w14:paraId="6D446F09" w14:textId="77777777" w:rsidR="005121DD" w:rsidRPr="00F5314F" w:rsidRDefault="005121DD" w:rsidP="005121D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lang w:val="bg"/>
              </w:rPr>
              <w:t xml:space="preserve">д) тръби: всички безшевни стоманени тръби, запоени стоманени тръби с диаметър, </w:t>
            </w:r>
            <w:r w:rsidRPr="00F5314F">
              <w:rPr>
                <w:rFonts w:ascii="Times New Roman" w:eastAsia="Times New Roman" w:hAnsi="Times New Roman"/>
                <w:snapToGrid w:val="0"/>
                <w:sz w:val="24"/>
                <w:szCs w:val="24"/>
              </w:rPr>
              <w:t>превишаващ</w:t>
            </w:r>
            <w:r w:rsidRPr="00F5314F">
              <w:rPr>
                <w:rFonts w:ascii="Times New Roman" w:eastAsia="Times New Roman" w:hAnsi="Times New Roman"/>
                <w:snapToGrid w:val="0"/>
                <w:sz w:val="24"/>
                <w:szCs w:val="24"/>
                <w:lang w:val="bg"/>
              </w:rPr>
              <w:t xml:space="preserve"> 406,4 </w:t>
            </w:r>
            <w:r w:rsidRPr="00F5314F">
              <w:rPr>
                <w:rFonts w:ascii="Times New Roman" w:eastAsia="Times New Roman" w:hAnsi="Times New Roman"/>
                <w:snapToGrid w:val="0"/>
                <w:sz w:val="24"/>
                <w:szCs w:val="24"/>
                <w:lang w:val="en-US"/>
              </w:rPr>
              <w:t>mm</w:t>
            </w:r>
            <w:r w:rsidRPr="00F5314F">
              <w:rPr>
                <w:rFonts w:ascii="Times New Roman" w:eastAsia="Times New Roman" w:hAnsi="Times New Roman"/>
                <w:snapToGrid w:val="0"/>
                <w:sz w:val="24"/>
                <w:szCs w:val="24"/>
              </w:rPr>
              <w:t>.</w:t>
            </w:r>
          </w:p>
        </w:tc>
      </w:tr>
      <w:tr w:rsidR="005121DD" w:rsidRPr="00F5314F" w14:paraId="0802460C" w14:textId="77777777" w:rsidTr="006B7F3D">
        <w:tc>
          <w:tcPr>
            <w:tcW w:w="2405" w:type="dxa"/>
            <w:shd w:val="clear" w:color="auto" w:fill="E7E6E6" w:themeFill="background2"/>
          </w:tcPr>
          <w:p w14:paraId="45914273" w14:textId="224F710A" w:rsidR="005121DD" w:rsidRPr="003940EB" w:rsidRDefault="005121DD" w:rsidP="005121DD">
            <w:pPr>
              <w:spacing w:after="120" w:line="240" w:lineRule="auto"/>
              <w:rPr>
                <w:rFonts w:ascii="Times New Roman" w:eastAsia="Times New Roman" w:hAnsi="Times New Roman"/>
                <w:b/>
                <w:snapToGrid w:val="0"/>
                <w:color w:val="000000" w:themeColor="text1"/>
                <w:sz w:val="24"/>
                <w:szCs w:val="24"/>
              </w:rPr>
            </w:pPr>
            <w:r>
              <w:rPr>
                <w:rFonts w:ascii="Times New Roman" w:eastAsia="Times New Roman" w:hAnsi="Times New Roman"/>
                <w:b/>
                <w:snapToGrid w:val="0"/>
                <w:color w:val="000000" w:themeColor="text1"/>
                <w:sz w:val="24"/>
                <w:szCs w:val="24"/>
              </w:rPr>
              <w:lastRenderedPageBreak/>
              <w:t>Суровини</w:t>
            </w:r>
          </w:p>
        </w:tc>
        <w:tc>
          <w:tcPr>
            <w:tcW w:w="7371" w:type="dxa"/>
            <w:shd w:val="clear" w:color="auto" w:fill="F2F2F2" w:themeFill="background1" w:themeFillShade="F2"/>
          </w:tcPr>
          <w:p w14:paraId="70AF1695" w14:textId="0DF2CE5E" w:rsidR="005121DD" w:rsidRPr="008B743E" w:rsidRDefault="005121DD" w:rsidP="00D234FC">
            <w:pPr>
              <w:spacing w:after="120" w:line="240" w:lineRule="auto"/>
              <w:jc w:val="both"/>
              <w:rPr>
                <w:rFonts w:ascii="Times New Roman" w:eastAsia="Times New Roman" w:hAnsi="Times New Roman"/>
                <w:snapToGrid w:val="0"/>
                <w:color w:val="000000" w:themeColor="text1"/>
                <w:sz w:val="24"/>
                <w:szCs w:val="24"/>
              </w:rPr>
            </w:pPr>
            <w:r w:rsidRPr="003940EB">
              <w:rPr>
                <w:rFonts w:ascii="Times New Roman" w:eastAsia="Times New Roman" w:hAnsi="Times New Roman"/>
                <w:snapToGrid w:val="0"/>
                <w:color w:val="000000" w:themeColor="text1"/>
                <w:sz w:val="24"/>
                <w:szCs w:val="24"/>
              </w:rPr>
              <w:t xml:space="preserve">Всички материали, които се влагат </w:t>
            </w:r>
            <w:r>
              <w:rPr>
                <w:rFonts w:ascii="Times New Roman" w:eastAsia="Times New Roman" w:hAnsi="Times New Roman"/>
                <w:snapToGrid w:val="0"/>
                <w:color w:val="000000" w:themeColor="text1"/>
                <w:sz w:val="24"/>
                <w:szCs w:val="24"/>
              </w:rPr>
              <w:t>за</w:t>
            </w:r>
            <w:r w:rsidRPr="003940EB">
              <w:rPr>
                <w:rFonts w:ascii="Times New Roman" w:eastAsia="Times New Roman" w:hAnsi="Times New Roman"/>
                <w:snapToGrid w:val="0"/>
                <w:color w:val="000000" w:themeColor="text1"/>
                <w:sz w:val="24"/>
                <w:szCs w:val="24"/>
              </w:rPr>
              <w:t xml:space="preserve"> производството</w:t>
            </w:r>
            <w:r>
              <w:rPr>
                <w:rFonts w:ascii="Times New Roman" w:eastAsia="Times New Roman" w:hAnsi="Times New Roman"/>
                <w:snapToGrid w:val="0"/>
                <w:color w:val="000000" w:themeColor="text1"/>
                <w:sz w:val="24"/>
                <w:szCs w:val="24"/>
              </w:rPr>
              <w:t>/предоставянето</w:t>
            </w:r>
            <w:r w:rsidRPr="003940EB">
              <w:rPr>
                <w:rFonts w:ascii="Times New Roman" w:eastAsia="Times New Roman" w:hAnsi="Times New Roman"/>
                <w:snapToGrid w:val="0"/>
                <w:color w:val="000000" w:themeColor="text1"/>
                <w:sz w:val="24"/>
                <w:szCs w:val="24"/>
              </w:rPr>
              <w:t xml:space="preserve"> на даден краен продукт</w:t>
            </w:r>
            <w:r>
              <w:rPr>
                <w:rFonts w:ascii="Times New Roman" w:eastAsia="Times New Roman" w:hAnsi="Times New Roman"/>
                <w:snapToGrid w:val="0"/>
                <w:color w:val="000000" w:themeColor="text1"/>
                <w:sz w:val="24"/>
                <w:szCs w:val="24"/>
              </w:rPr>
              <w:t>/услуга</w:t>
            </w:r>
            <w:r w:rsidRPr="003940EB">
              <w:rPr>
                <w:rFonts w:ascii="Times New Roman" w:eastAsia="Times New Roman" w:hAnsi="Times New Roman"/>
                <w:snapToGrid w:val="0"/>
                <w:color w:val="000000" w:themeColor="text1"/>
                <w:sz w:val="24"/>
                <w:szCs w:val="24"/>
              </w:rPr>
              <w:t xml:space="preserve"> </w:t>
            </w:r>
            <w:r w:rsidR="00D234FC">
              <w:rPr>
                <w:rFonts w:ascii="Times New Roman" w:eastAsia="Times New Roman" w:hAnsi="Times New Roman"/>
                <w:snapToGrid w:val="0"/>
                <w:color w:val="000000" w:themeColor="text1"/>
                <w:sz w:val="24"/>
                <w:szCs w:val="24"/>
              </w:rPr>
              <w:t>на предприятието-кандидат, с изключение на материалите</w:t>
            </w:r>
            <w:r w:rsidR="00D234FC" w:rsidRPr="00D234FC">
              <w:rPr>
                <w:rFonts w:ascii="Times New Roman" w:eastAsia="Times New Roman" w:hAnsi="Times New Roman"/>
                <w:snapToGrid w:val="0"/>
                <w:color w:val="000000" w:themeColor="text1"/>
                <w:sz w:val="24"/>
                <w:szCs w:val="24"/>
              </w:rPr>
              <w:t xml:space="preserve"> за осигуряване на експлоатацията /техническата изправност /поддръжката </w:t>
            </w:r>
            <w:bookmarkStart w:id="0" w:name="_GoBack"/>
            <w:bookmarkEnd w:id="0"/>
            <w:r w:rsidR="00D234FC" w:rsidRPr="00D234FC">
              <w:rPr>
                <w:rFonts w:ascii="Times New Roman" w:eastAsia="Times New Roman" w:hAnsi="Times New Roman"/>
                <w:snapToGrid w:val="0"/>
                <w:color w:val="000000" w:themeColor="text1"/>
                <w:sz w:val="24"/>
                <w:szCs w:val="24"/>
              </w:rPr>
              <w:t>на машини, съоръжения, оборудване за производство/предоставяне на продукти/услуги.</w:t>
            </w:r>
          </w:p>
        </w:tc>
      </w:tr>
      <w:tr w:rsidR="005121DD" w:rsidRPr="00F5314F" w14:paraId="734EEB43" w14:textId="77777777" w:rsidTr="006B7F3D">
        <w:tc>
          <w:tcPr>
            <w:tcW w:w="2405" w:type="dxa"/>
            <w:shd w:val="clear" w:color="auto" w:fill="E7E6E6" w:themeFill="background2"/>
          </w:tcPr>
          <w:p w14:paraId="22D7EE23" w14:textId="45671E7C" w:rsidR="005121DD" w:rsidRDefault="005121DD" w:rsidP="005121DD">
            <w:pPr>
              <w:spacing w:after="120" w:line="240" w:lineRule="auto"/>
              <w:rPr>
                <w:rFonts w:ascii="Times New Roman" w:eastAsia="Times New Roman" w:hAnsi="Times New Roman"/>
                <w:b/>
                <w:snapToGrid w:val="0"/>
                <w:color w:val="000000" w:themeColor="text1"/>
                <w:sz w:val="24"/>
                <w:szCs w:val="24"/>
              </w:rPr>
            </w:pPr>
            <w:r>
              <w:rPr>
                <w:rFonts w:ascii="Times New Roman" w:eastAsia="Times New Roman" w:hAnsi="Times New Roman"/>
                <w:b/>
                <w:snapToGrid w:val="0"/>
                <w:color w:val="000000" w:themeColor="text1"/>
                <w:sz w:val="24"/>
                <w:szCs w:val="24"/>
              </w:rPr>
              <w:t>Суровини с биологичен произход</w:t>
            </w:r>
          </w:p>
        </w:tc>
        <w:tc>
          <w:tcPr>
            <w:tcW w:w="7371" w:type="dxa"/>
            <w:shd w:val="clear" w:color="auto" w:fill="F2F2F2" w:themeFill="background1" w:themeFillShade="F2"/>
          </w:tcPr>
          <w:p w14:paraId="50D76BC9" w14:textId="63793BDF" w:rsidR="005121DD" w:rsidRPr="003940EB" w:rsidRDefault="005121DD" w:rsidP="005121DD">
            <w:pPr>
              <w:spacing w:after="120" w:line="240" w:lineRule="auto"/>
              <w:jc w:val="both"/>
              <w:rPr>
                <w:rFonts w:ascii="Times New Roman" w:eastAsia="Times New Roman" w:hAnsi="Times New Roman"/>
                <w:snapToGrid w:val="0"/>
                <w:color w:val="000000" w:themeColor="text1"/>
                <w:sz w:val="24"/>
                <w:szCs w:val="24"/>
              </w:rPr>
            </w:pPr>
            <w:r w:rsidRPr="00307F9F">
              <w:rPr>
                <w:rFonts w:ascii="Times New Roman" w:eastAsia="Times New Roman" w:hAnsi="Times New Roman"/>
                <w:snapToGrid w:val="0"/>
                <w:color w:val="000000" w:themeColor="text1"/>
                <w:sz w:val="24"/>
                <w:szCs w:val="24"/>
              </w:rPr>
              <w:t xml:space="preserve">Суровини, получени от растения, животни или микроорганизми, включително биоразградимата част </w:t>
            </w:r>
            <w:r>
              <w:rPr>
                <w:rFonts w:ascii="Times New Roman" w:eastAsia="Times New Roman" w:hAnsi="Times New Roman"/>
                <w:snapToGrid w:val="0"/>
                <w:color w:val="000000" w:themeColor="text1"/>
                <w:sz w:val="24"/>
                <w:szCs w:val="24"/>
              </w:rPr>
              <w:t>от продукти, отпадъци, суровини.</w:t>
            </w:r>
          </w:p>
        </w:tc>
      </w:tr>
      <w:tr w:rsidR="005121DD" w:rsidRPr="00F5314F" w14:paraId="2C45923D" w14:textId="77777777" w:rsidTr="006B7F3D">
        <w:tc>
          <w:tcPr>
            <w:tcW w:w="2405" w:type="dxa"/>
            <w:shd w:val="clear" w:color="auto" w:fill="E7E6E6" w:themeFill="background2"/>
          </w:tcPr>
          <w:p w14:paraId="7B7E83A5" w14:textId="10D3A2A6" w:rsidR="005121DD" w:rsidRPr="00686327" w:rsidRDefault="005121DD" w:rsidP="005121D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Транспортен сектор</w:t>
            </w:r>
            <w:r w:rsidRPr="00D430E1">
              <w:rPr>
                <w:rFonts w:ascii="Times New Roman" w:eastAsia="Times New Roman" w:hAnsi="Times New Roman"/>
                <w:b/>
                <w:snapToGrid w:val="0"/>
                <w:sz w:val="24"/>
                <w:szCs w:val="24"/>
              </w:rPr>
              <w:t xml:space="preserve"> </w:t>
            </w:r>
            <w:r>
              <w:rPr>
                <w:rFonts w:ascii="Times New Roman" w:eastAsia="Times New Roman" w:hAnsi="Times New Roman"/>
                <w:b/>
                <w:snapToGrid w:val="0"/>
                <w:sz w:val="24"/>
                <w:szCs w:val="24"/>
              </w:rPr>
              <w:t>и свързана с него инфраструктура</w:t>
            </w:r>
          </w:p>
        </w:tc>
        <w:tc>
          <w:tcPr>
            <w:tcW w:w="7371" w:type="dxa"/>
            <w:shd w:val="clear" w:color="auto" w:fill="F3F3F3"/>
          </w:tcPr>
          <w:p w14:paraId="3F8D3EA3" w14:textId="7630FE65" w:rsidR="005121DD" w:rsidRPr="00F5314F" w:rsidRDefault="005121DD" w:rsidP="005121D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чл. 2, пар. 45 от Регламент (ЕО) № 651/2014,</w:t>
            </w:r>
            <w:r w:rsidRPr="00F5314F">
              <w:rPr>
                <w:rFonts w:ascii="Times New Roman" w:hAnsi="Times New Roman"/>
                <w:sz w:val="24"/>
                <w:szCs w:val="24"/>
              </w:rPr>
              <w:t xml:space="preserve"> </w:t>
            </w:r>
            <w:r>
              <w:rPr>
                <w:rFonts w:ascii="Times New Roman" w:eastAsia="Times New Roman" w:hAnsi="Times New Roman"/>
                <w:snapToGrid w:val="0"/>
                <w:sz w:val="24"/>
                <w:szCs w:val="24"/>
              </w:rPr>
              <w:t>„транспортен сектор</w:t>
            </w:r>
            <w:r w:rsidRPr="001D1FFF">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означава превоз на пътници с въздушен, морски, автомобилен или железопътен транспорт и транспорт по вътрешни водни пътища или услугите по товарен превоз за чужда сметка или срещу възнаграждение.</w:t>
            </w:r>
          </w:p>
          <w:p w14:paraId="28A8CA0F" w14:textId="317158D4" w:rsidR="005121DD" w:rsidRPr="00F5314F" w:rsidRDefault="005121DD" w:rsidP="005121D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w:t>
            </w:r>
            <w:r>
              <w:rPr>
                <w:rFonts w:ascii="Times New Roman" w:eastAsia="Times New Roman" w:hAnsi="Times New Roman"/>
                <w:snapToGrid w:val="0"/>
                <w:sz w:val="24"/>
                <w:szCs w:val="24"/>
              </w:rPr>
              <w:t>о-специално „транспортен сектор</w:t>
            </w:r>
            <w:r w:rsidRPr="001D1FFF">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означава следните дейности </w:t>
            </w:r>
            <w:r w:rsidRPr="00F5314F">
              <w:rPr>
                <w:rFonts w:ascii="Times New Roman" w:hAnsi="Times New Roman"/>
                <w:sz w:val="24"/>
                <w:szCs w:val="24"/>
              </w:rPr>
              <w:t>от гледна точка на статистическата класификация на икономическите дейности NACE Rev. 2</w:t>
            </w:r>
            <w:r w:rsidRPr="00D430E1">
              <w:rPr>
                <w:rFonts w:ascii="Times New Roman" w:hAnsi="Times New Roman"/>
                <w:sz w:val="24"/>
                <w:szCs w:val="24"/>
              </w:rPr>
              <w:t xml:space="preserve"> (КИД-2008 на НСИ)</w:t>
            </w:r>
            <w:r w:rsidRPr="00F5314F">
              <w:rPr>
                <w:rFonts w:ascii="Times New Roman" w:hAnsi="Times New Roman"/>
                <w:sz w:val="24"/>
                <w:szCs w:val="24"/>
              </w:rPr>
              <w:t>, създадена с Регламент (ЕО) № 1893/2006 на Европейския парламент и на Съвета</w:t>
            </w:r>
            <w:r w:rsidRPr="00F5314F">
              <w:rPr>
                <w:rFonts w:ascii="Times New Roman" w:eastAsia="Times New Roman" w:hAnsi="Times New Roman"/>
                <w:snapToGrid w:val="0"/>
                <w:sz w:val="24"/>
                <w:szCs w:val="24"/>
              </w:rPr>
              <w:t>:</w:t>
            </w:r>
          </w:p>
          <w:p w14:paraId="6E5C68EE" w14:textId="185066B5" w:rsidR="005121DD" w:rsidRPr="00F5314F" w:rsidRDefault="005121DD" w:rsidP="005121DD">
            <w:pPr>
              <w:pStyle w:val="FootnoteText"/>
              <w:spacing w:after="120"/>
              <w:jc w:val="both"/>
              <w:rPr>
                <w:rFonts w:ascii="Times New Roman" w:eastAsia="Times New Roman" w:hAnsi="Times New Roman"/>
                <w:snapToGrid w:val="0"/>
                <w:sz w:val="24"/>
                <w:szCs w:val="24"/>
              </w:rPr>
            </w:pPr>
            <w:r w:rsidRPr="00F5314F">
              <w:rPr>
                <w:rFonts w:ascii="Times New Roman" w:hAnsi="Times New Roman"/>
                <w:sz w:val="24"/>
                <w:szCs w:val="24"/>
              </w:rPr>
              <w:t>а) NACE 49: Сухопътен транспорт и тръбопроводен транспорт с изключение на NACE 49.32 Таксиметрови превози, 49.39. Управление на лифтове, въжени линии, ски и кабелни лифтове, ако не са част от градски или крайградски системи за транзитен превоз 49.42 Услуги по преместване, 49.5 Тръбопроводен транспорт (</w:t>
            </w:r>
            <w:r w:rsidRPr="002337FA">
              <w:rPr>
                <w:rFonts w:ascii="Times New Roman" w:hAnsi="Times New Roman"/>
                <w:i/>
                <w:sz w:val="24"/>
                <w:szCs w:val="24"/>
              </w:rPr>
              <w:t xml:space="preserve">съответстващи на следните дейности съгласно новата версия на статистическата класификация на икономическите дейности NACE Rev. 2.1 - КИД-2025 на НСИ: </w:t>
            </w:r>
            <w:r w:rsidRPr="00F5314F">
              <w:rPr>
                <w:rFonts w:ascii="Times New Roman" w:eastAsia="Times New Roman" w:hAnsi="Times New Roman"/>
                <w:i/>
                <w:snapToGrid w:val="0"/>
                <w:sz w:val="24"/>
                <w:szCs w:val="24"/>
              </w:rPr>
              <w:t xml:space="preserve">Н49 „Сухопътен транспорт“, с изключение на: </w:t>
            </w:r>
            <w:r w:rsidRPr="00476328">
              <w:rPr>
                <w:rFonts w:ascii="Times New Roman" w:eastAsia="Times New Roman" w:hAnsi="Times New Roman"/>
                <w:i/>
                <w:snapToGrid w:val="0"/>
                <w:sz w:val="24"/>
                <w:szCs w:val="24"/>
              </w:rPr>
              <w:t>таксиметрови услуги с леки автомобили и таксиметрови услуги с мотоциклети,  които са част от Н49.33 „Дейности по пътнически транспорт по зая</w:t>
            </w:r>
            <w:r>
              <w:rPr>
                <w:rFonts w:ascii="Times New Roman" w:eastAsia="Times New Roman" w:hAnsi="Times New Roman"/>
                <w:i/>
                <w:snapToGrid w:val="0"/>
                <w:sz w:val="24"/>
                <w:szCs w:val="24"/>
              </w:rPr>
              <w:t>вка с превозно средство с водач</w:t>
            </w:r>
            <w:r w:rsidRPr="001D1FFF">
              <w:rPr>
                <w:rFonts w:ascii="Times New Roman" w:eastAsia="Times New Roman" w:hAnsi="Times New Roman"/>
                <w:i/>
                <w:snapToGrid w:val="0"/>
                <w:sz w:val="24"/>
                <w:szCs w:val="24"/>
              </w:rPr>
              <w:t>”</w:t>
            </w:r>
            <w:r w:rsidRPr="00476328">
              <w:rPr>
                <w:rFonts w:ascii="Times New Roman" w:eastAsia="Times New Roman" w:hAnsi="Times New Roman"/>
                <w:i/>
                <w:snapToGrid w:val="0"/>
                <w:sz w:val="24"/>
                <w:szCs w:val="24"/>
              </w:rPr>
              <w:t xml:space="preserve">, Н49.34 </w:t>
            </w:r>
            <w:r>
              <w:rPr>
                <w:rFonts w:ascii="Times New Roman" w:eastAsia="Times New Roman" w:hAnsi="Times New Roman"/>
                <w:i/>
                <w:snapToGrid w:val="0"/>
                <w:sz w:val="24"/>
                <w:szCs w:val="24"/>
              </w:rPr>
              <w:t>„</w:t>
            </w:r>
            <w:r w:rsidRPr="00476328">
              <w:rPr>
                <w:rFonts w:ascii="Times New Roman" w:eastAsia="Times New Roman" w:hAnsi="Times New Roman"/>
                <w:i/>
                <w:snapToGrid w:val="0"/>
                <w:sz w:val="24"/>
                <w:szCs w:val="24"/>
              </w:rPr>
              <w:t>Пътнически транспорт с въжени линии и ски лифтове</w:t>
            </w:r>
            <w:r w:rsidRPr="001D1FFF">
              <w:rPr>
                <w:rFonts w:ascii="Times New Roman" w:eastAsia="Times New Roman" w:hAnsi="Times New Roman"/>
                <w:i/>
                <w:snapToGrid w:val="0"/>
                <w:sz w:val="24"/>
                <w:szCs w:val="24"/>
              </w:rPr>
              <w:t>”</w:t>
            </w:r>
            <w:r w:rsidRPr="00476328">
              <w:rPr>
                <w:rFonts w:ascii="Times New Roman" w:eastAsia="Times New Roman" w:hAnsi="Times New Roman"/>
                <w:i/>
                <w:snapToGrid w:val="0"/>
                <w:sz w:val="24"/>
                <w:szCs w:val="24"/>
              </w:rPr>
              <w:t xml:space="preserve"> САМО дейност „пътнически транспорт с въжени линии, </w:t>
            </w:r>
            <w:r>
              <w:rPr>
                <w:rFonts w:ascii="Times New Roman" w:eastAsia="Times New Roman" w:hAnsi="Times New Roman"/>
                <w:i/>
                <w:snapToGrid w:val="0"/>
                <w:sz w:val="24"/>
                <w:szCs w:val="24"/>
              </w:rPr>
              <w:t>ски лифтове и седалкови влекове</w:t>
            </w:r>
            <w:r w:rsidRPr="00476328">
              <w:rPr>
                <w:rFonts w:ascii="Times New Roman" w:eastAsia="Times New Roman" w:hAnsi="Times New Roman"/>
                <w:i/>
                <w:snapToGrid w:val="0"/>
                <w:sz w:val="24"/>
                <w:szCs w:val="24"/>
              </w:rPr>
              <w:t>,</w:t>
            </w:r>
            <w:r w:rsidRPr="00D430E1">
              <w:rPr>
                <w:rFonts w:ascii="Times New Roman" w:eastAsia="Times New Roman" w:hAnsi="Times New Roman"/>
                <w:i/>
                <w:snapToGrid w:val="0"/>
                <w:sz w:val="24"/>
                <w:szCs w:val="24"/>
              </w:rPr>
              <w:t xml:space="preserve"> </w:t>
            </w:r>
            <w:r w:rsidRPr="00476328">
              <w:rPr>
                <w:rFonts w:ascii="Times New Roman" w:eastAsia="Times New Roman" w:hAnsi="Times New Roman"/>
                <w:i/>
                <w:snapToGrid w:val="0"/>
                <w:sz w:val="24"/>
                <w:szCs w:val="24"/>
              </w:rPr>
              <w:t xml:space="preserve">когато не е част от градските или </w:t>
            </w:r>
            <w:r>
              <w:rPr>
                <w:rFonts w:ascii="Times New Roman" w:eastAsia="Times New Roman" w:hAnsi="Times New Roman"/>
                <w:i/>
                <w:snapToGrid w:val="0"/>
                <w:sz w:val="24"/>
                <w:szCs w:val="24"/>
              </w:rPr>
              <w:t>крайградските транспортни мрежи</w:t>
            </w:r>
            <w:r w:rsidRPr="001D1FFF">
              <w:rPr>
                <w:rFonts w:ascii="Times New Roman" w:eastAsia="Times New Roman" w:hAnsi="Times New Roman"/>
                <w:i/>
                <w:snapToGrid w:val="0"/>
                <w:sz w:val="24"/>
                <w:szCs w:val="24"/>
              </w:rPr>
              <w:t>”</w:t>
            </w:r>
            <w:r w:rsidRPr="00476328">
              <w:rPr>
                <w:rFonts w:ascii="Times New Roman" w:eastAsia="Times New Roman" w:hAnsi="Times New Roman"/>
                <w:i/>
                <w:snapToGrid w:val="0"/>
                <w:sz w:val="24"/>
                <w:szCs w:val="24"/>
              </w:rPr>
              <w:t xml:space="preserve">, таксиметрови услуги с велосипеди, които са </w:t>
            </w:r>
            <w:r w:rsidRPr="00476328">
              <w:rPr>
                <w:rFonts w:ascii="Times New Roman" w:eastAsia="Times New Roman" w:hAnsi="Times New Roman"/>
                <w:i/>
                <w:snapToGrid w:val="0"/>
                <w:sz w:val="24"/>
                <w:szCs w:val="24"/>
              </w:rPr>
              <w:lastRenderedPageBreak/>
              <w:t>част от Н49.39 „Друг пътнически сухопътен тр</w:t>
            </w:r>
            <w:r>
              <w:rPr>
                <w:rFonts w:ascii="Times New Roman" w:eastAsia="Times New Roman" w:hAnsi="Times New Roman"/>
                <w:i/>
                <w:snapToGrid w:val="0"/>
                <w:sz w:val="24"/>
                <w:szCs w:val="24"/>
              </w:rPr>
              <w:t>анспорт, некласифициран другаде</w:t>
            </w:r>
            <w:r w:rsidRPr="001D1FFF">
              <w:rPr>
                <w:rFonts w:ascii="Times New Roman" w:eastAsia="Times New Roman" w:hAnsi="Times New Roman"/>
                <w:i/>
                <w:snapToGrid w:val="0"/>
                <w:sz w:val="24"/>
                <w:szCs w:val="24"/>
              </w:rPr>
              <w:t>”</w:t>
            </w:r>
            <w:r w:rsidRPr="00476328">
              <w:rPr>
                <w:rFonts w:ascii="Times New Roman" w:eastAsia="Times New Roman" w:hAnsi="Times New Roman"/>
                <w:i/>
                <w:snapToGrid w:val="0"/>
                <w:sz w:val="24"/>
                <w:szCs w:val="24"/>
              </w:rPr>
              <w:t xml:space="preserve">, </w:t>
            </w:r>
            <w:r>
              <w:rPr>
                <w:rFonts w:ascii="Times New Roman" w:eastAsia="Times New Roman" w:hAnsi="Times New Roman"/>
                <w:i/>
                <w:snapToGrid w:val="0"/>
                <w:sz w:val="24"/>
                <w:szCs w:val="24"/>
              </w:rPr>
              <w:t>Н49.42 „Услуги по преместване</w:t>
            </w:r>
            <w:r w:rsidRPr="001D1FFF">
              <w:rPr>
                <w:rFonts w:ascii="Times New Roman" w:eastAsia="Times New Roman" w:hAnsi="Times New Roman"/>
                <w:i/>
                <w:snapToGrid w:val="0"/>
                <w:sz w:val="24"/>
                <w:szCs w:val="24"/>
              </w:rPr>
              <w:t>”</w:t>
            </w:r>
            <w:r w:rsidRPr="00F5314F">
              <w:rPr>
                <w:rFonts w:ascii="Times New Roman" w:eastAsia="Times New Roman" w:hAnsi="Times New Roman"/>
                <w:i/>
                <w:snapToGrid w:val="0"/>
                <w:sz w:val="24"/>
                <w:szCs w:val="24"/>
              </w:rPr>
              <w:t xml:space="preserve"> и</w:t>
            </w:r>
            <w:r>
              <w:rPr>
                <w:rFonts w:ascii="Times New Roman" w:eastAsia="Times New Roman" w:hAnsi="Times New Roman"/>
                <w:i/>
                <w:snapToGrid w:val="0"/>
                <w:sz w:val="24"/>
                <w:szCs w:val="24"/>
              </w:rPr>
              <w:t xml:space="preserve"> Н49.5 „Тръбопроводен транспорт</w:t>
            </w:r>
            <w:r w:rsidRPr="001D1FFF">
              <w:rPr>
                <w:rFonts w:ascii="Times New Roman" w:eastAsia="Times New Roman" w:hAnsi="Times New Roman"/>
                <w:i/>
                <w:snapToGrid w:val="0"/>
                <w:sz w:val="24"/>
                <w:szCs w:val="24"/>
              </w:rPr>
              <w:t>”</w:t>
            </w:r>
            <w:r w:rsidRPr="00F5314F">
              <w:rPr>
                <w:rFonts w:ascii="Times New Roman" w:eastAsia="Times New Roman" w:hAnsi="Times New Roman"/>
                <w:snapToGrid w:val="0"/>
                <w:sz w:val="24"/>
                <w:szCs w:val="24"/>
              </w:rPr>
              <w:t>);</w:t>
            </w:r>
          </w:p>
          <w:p w14:paraId="6A32573D" w14:textId="76986479" w:rsidR="005121DD" w:rsidRPr="00F5314F" w:rsidRDefault="005121DD" w:rsidP="005121D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б) </w:t>
            </w:r>
            <w:r w:rsidRPr="00F5314F">
              <w:rPr>
                <w:rFonts w:ascii="Times New Roman" w:hAnsi="Times New Roman"/>
                <w:sz w:val="24"/>
                <w:szCs w:val="24"/>
              </w:rPr>
              <w:t>NACE 50: Воден транспорт</w:t>
            </w:r>
            <w:r w:rsidRPr="00F5314F">
              <w:rPr>
                <w:rFonts w:ascii="Times New Roman" w:eastAsia="Times New Roman" w:hAnsi="Times New Roman"/>
                <w:snapToGrid w:val="0"/>
                <w:sz w:val="24"/>
                <w:szCs w:val="24"/>
              </w:rPr>
              <w:t xml:space="preserve"> (</w:t>
            </w:r>
            <w:r w:rsidRPr="002337FA">
              <w:rPr>
                <w:rFonts w:ascii="Times New Roman" w:hAnsi="Times New Roman"/>
                <w:i/>
                <w:sz w:val="24"/>
                <w:szCs w:val="24"/>
              </w:rPr>
              <w:t xml:space="preserve">съгласно новата версия на статистическата класификация на икономическите дейности NACE Rev. 2.1 - КИД-2025 на НСИ </w:t>
            </w:r>
            <w:r>
              <w:rPr>
                <w:rFonts w:ascii="Times New Roman" w:eastAsia="Times New Roman" w:hAnsi="Times New Roman"/>
                <w:i/>
                <w:snapToGrid w:val="0"/>
                <w:sz w:val="24"/>
                <w:szCs w:val="24"/>
              </w:rPr>
              <w:t>- Н50 „Воден транспорт</w:t>
            </w:r>
            <w:r w:rsidRPr="001D1FFF">
              <w:rPr>
                <w:rFonts w:ascii="Times New Roman" w:eastAsia="Times New Roman" w:hAnsi="Times New Roman"/>
                <w:i/>
                <w:snapToGrid w:val="0"/>
                <w:sz w:val="24"/>
                <w:szCs w:val="24"/>
              </w:rPr>
              <w:t>”</w:t>
            </w:r>
            <w:r w:rsidRPr="00F5314F">
              <w:rPr>
                <w:rFonts w:ascii="Times New Roman" w:eastAsia="Times New Roman" w:hAnsi="Times New Roman"/>
                <w:snapToGrid w:val="0"/>
                <w:sz w:val="24"/>
                <w:szCs w:val="24"/>
              </w:rPr>
              <w:t>);</w:t>
            </w:r>
          </w:p>
          <w:p w14:paraId="154463F0" w14:textId="3C5DF325" w:rsidR="005121DD" w:rsidRDefault="005121DD" w:rsidP="005121DD">
            <w:pPr>
              <w:pStyle w:val="FootnoteText"/>
              <w:spacing w:after="120"/>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в) </w:t>
            </w:r>
            <w:r w:rsidRPr="00F5314F">
              <w:rPr>
                <w:rFonts w:ascii="Times New Roman" w:hAnsi="Times New Roman"/>
                <w:sz w:val="24"/>
                <w:szCs w:val="24"/>
              </w:rPr>
              <w:t>NACE 51: Въздушен транспорт с изключение на NACE 51.22 Космически транспорт</w:t>
            </w:r>
            <w:r w:rsidRPr="00F5314F">
              <w:rPr>
                <w:rFonts w:ascii="Times New Roman" w:eastAsia="Times New Roman" w:hAnsi="Times New Roman"/>
                <w:snapToGrid w:val="0"/>
                <w:sz w:val="24"/>
                <w:szCs w:val="24"/>
              </w:rPr>
              <w:t xml:space="preserve"> (</w:t>
            </w:r>
            <w:r w:rsidRPr="002337FA">
              <w:rPr>
                <w:rFonts w:ascii="Times New Roman" w:hAnsi="Times New Roman"/>
                <w:i/>
                <w:sz w:val="24"/>
                <w:szCs w:val="24"/>
              </w:rPr>
              <w:t>съгласно новата версия на статистическата класификация на икономическите дейности NACE Rev. 2.1 - КИД-2025 на НСИ</w:t>
            </w:r>
            <w:r w:rsidRPr="002337FA" w:rsidDel="002337FA">
              <w:rPr>
                <w:rFonts w:ascii="Times New Roman" w:hAnsi="Times New Roman"/>
                <w:i/>
                <w:sz w:val="24"/>
                <w:szCs w:val="24"/>
              </w:rPr>
              <w:t xml:space="preserve"> </w:t>
            </w:r>
            <w:r w:rsidRPr="00F5314F">
              <w:rPr>
                <w:rFonts w:ascii="Times New Roman" w:eastAsia="Times New Roman" w:hAnsi="Times New Roman"/>
                <w:i/>
                <w:snapToGrid w:val="0"/>
                <w:sz w:val="24"/>
                <w:szCs w:val="24"/>
              </w:rPr>
              <w:t>н</w:t>
            </w:r>
            <w:r>
              <w:rPr>
                <w:rFonts w:ascii="Times New Roman" w:eastAsia="Times New Roman" w:hAnsi="Times New Roman"/>
                <w:i/>
                <w:snapToGrid w:val="0"/>
                <w:sz w:val="24"/>
                <w:szCs w:val="24"/>
              </w:rPr>
              <w:t>а НСИ - Н51 „Въздушен транспорт</w:t>
            </w:r>
            <w:r w:rsidRPr="001D1FFF">
              <w:rPr>
                <w:rFonts w:ascii="Times New Roman" w:eastAsia="Times New Roman" w:hAnsi="Times New Roman"/>
                <w:i/>
                <w:snapToGrid w:val="0"/>
                <w:sz w:val="24"/>
                <w:szCs w:val="24"/>
              </w:rPr>
              <w:t>”</w:t>
            </w:r>
            <w:r w:rsidRPr="00F5314F">
              <w:rPr>
                <w:rFonts w:ascii="Times New Roman" w:eastAsia="Times New Roman" w:hAnsi="Times New Roman"/>
                <w:i/>
                <w:snapToGrid w:val="0"/>
                <w:sz w:val="24"/>
                <w:szCs w:val="24"/>
              </w:rPr>
              <w:t xml:space="preserve">, с изключение </w:t>
            </w:r>
            <w:r>
              <w:rPr>
                <w:rFonts w:ascii="Times New Roman" w:eastAsia="Times New Roman" w:hAnsi="Times New Roman"/>
                <w:i/>
                <w:snapToGrid w:val="0"/>
                <w:sz w:val="24"/>
                <w:szCs w:val="24"/>
              </w:rPr>
              <w:t>на Н51.22 „Космически транспорт</w:t>
            </w:r>
            <w:r w:rsidRPr="001D1FFF">
              <w:rPr>
                <w:rFonts w:ascii="Times New Roman" w:eastAsia="Times New Roman" w:hAnsi="Times New Roman"/>
                <w:i/>
                <w:snapToGrid w:val="0"/>
                <w:sz w:val="24"/>
                <w:szCs w:val="24"/>
              </w:rPr>
              <w:t>”</w:t>
            </w:r>
            <w:r w:rsidRPr="00F5314F">
              <w:rPr>
                <w:rFonts w:ascii="Times New Roman" w:eastAsia="Times New Roman" w:hAnsi="Times New Roman"/>
                <w:snapToGrid w:val="0"/>
                <w:sz w:val="24"/>
                <w:szCs w:val="24"/>
              </w:rPr>
              <w:t>).</w:t>
            </w:r>
          </w:p>
          <w:p w14:paraId="2849A4D7" w14:textId="2D1F57EB" w:rsidR="005121DD" w:rsidRPr="00162EFC" w:rsidRDefault="005121DD" w:rsidP="005121DD">
            <w:pPr>
              <w:pStyle w:val="FootnoteText"/>
              <w:spacing w:after="120"/>
              <w:jc w:val="both"/>
              <w:rPr>
                <w:rFonts w:ascii="Times New Roman" w:hAnsi="Times New Roman"/>
                <w:b/>
                <w:sz w:val="24"/>
                <w:szCs w:val="24"/>
              </w:rPr>
            </w:pPr>
            <w:r w:rsidRPr="00162EFC">
              <w:rPr>
                <w:rFonts w:ascii="Times New Roman" w:eastAsia="Times New Roman" w:hAnsi="Times New Roman"/>
                <w:b/>
                <w:snapToGrid w:val="0"/>
                <w:sz w:val="24"/>
                <w:szCs w:val="24"/>
              </w:rPr>
              <w:t xml:space="preserve">За целите на настоящата процедура под „свързана със </w:t>
            </w:r>
            <w:r>
              <w:rPr>
                <w:rFonts w:ascii="Times New Roman" w:eastAsia="Times New Roman" w:hAnsi="Times New Roman"/>
                <w:b/>
                <w:snapToGrid w:val="0"/>
                <w:sz w:val="24"/>
                <w:szCs w:val="24"/>
              </w:rPr>
              <w:t>сектор транспорт инфраструктура</w:t>
            </w:r>
            <w:r w:rsidRPr="00A72FD4">
              <w:rPr>
                <w:rFonts w:ascii="Times New Roman" w:eastAsia="Times New Roman" w:hAnsi="Times New Roman"/>
                <w:b/>
                <w:snapToGrid w:val="0"/>
                <w:sz w:val="24"/>
                <w:szCs w:val="24"/>
              </w:rPr>
              <w:t>”</w:t>
            </w:r>
            <w:r w:rsidRPr="00162EFC">
              <w:rPr>
                <w:rFonts w:ascii="Times New Roman" w:eastAsia="Times New Roman" w:hAnsi="Times New Roman"/>
                <w:b/>
                <w:snapToGrid w:val="0"/>
                <w:sz w:val="24"/>
                <w:szCs w:val="24"/>
              </w:rPr>
              <w:t xml:space="preserve"> следва да се разбира инфраструктурата, която е необходима и се използва за предоставяне на </w:t>
            </w:r>
            <w:r>
              <w:rPr>
                <w:rFonts w:ascii="Times New Roman" w:eastAsia="Times New Roman" w:hAnsi="Times New Roman"/>
                <w:b/>
                <w:snapToGrid w:val="0"/>
                <w:sz w:val="24"/>
                <w:szCs w:val="24"/>
              </w:rPr>
              <w:t xml:space="preserve">горепосочените </w:t>
            </w:r>
            <w:r w:rsidRPr="00162EFC">
              <w:rPr>
                <w:rFonts w:ascii="Times New Roman" w:eastAsia="Times New Roman" w:hAnsi="Times New Roman"/>
                <w:b/>
                <w:snapToGrid w:val="0"/>
                <w:sz w:val="24"/>
                <w:szCs w:val="24"/>
              </w:rPr>
              <w:t>транспортни дейности, изброени в чл. 2, пар. 45 от Регламент (ЕО) № 651/2014.</w:t>
            </w:r>
          </w:p>
        </w:tc>
      </w:tr>
      <w:tr w:rsidR="005121DD" w:rsidRPr="00F5314F" w14:paraId="7B3A8D41" w14:textId="77777777" w:rsidTr="006B7F3D">
        <w:tc>
          <w:tcPr>
            <w:tcW w:w="2405" w:type="dxa"/>
            <w:shd w:val="clear" w:color="auto" w:fill="E6E6E6"/>
          </w:tcPr>
          <w:p w14:paraId="0408089A" w14:textId="77777777" w:rsidR="005121DD" w:rsidRPr="00F5314F" w:rsidRDefault="005121DD" w:rsidP="005121D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Транспортни средства</w:t>
            </w:r>
            <w:r w:rsidRPr="00F5314F">
              <w:t xml:space="preserve"> </w:t>
            </w:r>
            <w:r w:rsidRPr="00F5314F">
              <w:rPr>
                <w:rFonts w:ascii="Times New Roman" w:eastAsia="Times New Roman" w:hAnsi="Times New Roman"/>
                <w:b/>
                <w:snapToGrid w:val="0"/>
                <w:sz w:val="24"/>
                <w:szCs w:val="24"/>
              </w:rPr>
              <w:t>и съоръжения</w:t>
            </w:r>
          </w:p>
        </w:tc>
        <w:tc>
          <w:tcPr>
            <w:tcW w:w="7371" w:type="dxa"/>
            <w:shd w:val="clear" w:color="auto" w:fill="F3F3F3"/>
          </w:tcPr>
          <w:p w14:paraId="433EB8A3" w14:textId="77777777" w:rsidR="005121DD" w:rsidRPr="00F5314F" w:rsidRDefault="005121DD" w:rsidP="005121DD">
            <w:pPr>
              <w:pStyle w:val="FootnoteText"/>
              <w:spacing w:after="120"/>
              <w:jc w:val="both"/>
              <w:rPr>
                <w:rFonts w:ascii="Times New Roman" w:hAnsi="Times New Roman"/>
                <w:sz w:val="24"/>
                <w:szCs w:val="24"/>
              </w:rPr>
            </w:pPr>
            <w:r w:rsidRPr="00F5314F">
              <w:rPr>
                <w:rFonts w:ascii="Times New Roman" w:hAnsi="Times New Roman"/>
                <w:sz w:val="24"/>
                <w:szCs w:val="24"/>
              </w:rPr>
              <w:t>Включва следните дефиниции:</w:t>
            </w:r>
          </w:p>
          <w:p w14:paraId="583E23FF" w14:textId="77777777" w:rsidR="005121DD" w:rsidRPr="00F5314F" w:rsidRDefault="005121DD" w:rsidP="005121DD">
            <w:pPr>
              <w:pStyle w:val="FootnoteText"/>
              <w:spacing w:after="120"/>
              <w:jc w:val="both"/>
              <w:rPr>
                <w:rFonts w:ascii="Times New Roman" w:hAnsi="Times New Roman"/>
                <w:i/>
                <w:sz w:val="24"/>
                <w:szCs w:val="24"/>
              </w:rPr>
            </w:pPr>
            <w:r w:rsidRPr="00F5314F">
              <w:rPr>
                <w:rFonts w:ascii="Times New Roman" w:hAnsi="Times New Roman"/>
                <w:sz w:val="24"/>
                <w:szCs w:val="24"/>
              </w:rPr>
              <w:t xml:space="preserve"> - </w:t>
            </w:r>
            <w:r w:rsidRPr="00F5314F">
              <w:rPr>
                <w:rFonts w:ascii="Times New Roman" w:hAnsi="Times New Roman"/>
                <w:i/>
                <w:sz w:val="24"/>
                <w:szCs w:val="24"/>
              </w:rPr>
              <w:t>Съгласно Закона за движението по пътищата:</w:t>
            </w:r>
          </w:p>
          <w:p w14:paraId="62F7E538" w14:textId="32DDAD8F" w:rsidR="005121DD" w:rsidRPr="00F5314F" w:rsidRDefault="005121DD" w:rsidP="005121DD">
            <w:pPr>
              <w:pStyle w:val="FootnoteText"/>
              <w:spacing w:after="120"/>
              <w:jc w:val="both"/>
              <w:rPr>
                <w:rFonts w:ascii="Times New Roman" w:hAnsi="Times New Roman"/>
                <w:sz w:val="24"/>
                <w:szCs w:val="24"/>
              </w:rPr>
            </w:pPr>
            <w:r>
              <w:rPr>
                <w:rFonts w:ascii="Times New Roman" w:hAnsi="Times New Roman"/>
                <w:sz w:val="24"/>
                <w:szCs w:val="24"/>
              </w:rPr>
              <w:t>1. „Пътно превозно средство</w:t>
            </w:r>
            <w:r w:rsidRPr="00A72FD4">
              <w:rPr>
                <w:rFonts w:ascii="Times New Roman" w:hAnsi="Times New Roman"/>
                <w:sz w:val="24"/>
                <w:szCs w:val="24"/>
              </w:rPr>
              <w:t>”</w:t>
            </w:r>
            <w:r w:rsidRPr="00F5314F">
              <w:rPr>
                <w:rFonts w:ascii="Times New Roman" w:hAnsi="Times New Roman"/>
                <w:sz w:val="24"/>
                <w:szCs w:val="24"/>
              </w:rPr>
              <w:t xml:space="preserve"> е съоръжение, придвижвано по пътя на колела и използвано за превозване на хора и/или товари. Към пътните превозни средства се приравняват трамваите</w:t>
            </w:r>
            <w:r>
              <w:rPr>
                <w:rFonts w:ascii="Times New Roman" w:hAnsi="Times New Roman"/>
                <w:sz w:val="24"/>
                <w:szCs w:val="24"/>
              </w:rPr>
              <w:t>, тракторите</w:t>
            </w:r>
            <w:r w:rsidRPr="00F5314F">
              <w:rPr>
                <w:rFonts w:ascii="Times New Roman" w:hAnsi="Times New Roman"/>
                <w:sz w:val="24"/>
                <w:szCs w:val="24"/>
              </w:rPr>
              <w:t xml:space="preserve"> и самоходните машини, когато се придвижват по пътищата.</w:t>
            </w:r>
          </w:p>
          <w:p w14:paraId="5B2191A6" w14:textId="0E886A78" w:rsidR="005121DD" w:rsidRPr="00F5314F" w:rsidRDefault="005121DD" w:rsidP="005121DD">
            <w:pPr>
              <w:pStyle w:val="FootnoteText"/>
              <w:spacing w:after="120"/>
              <w:jc w:val="both"/>
              <w:rPr>
                <w:rFonts w:ascii="Times New Roman" w:hAnsi="Times New Roman"/>
                <w:sz w:val="24"/>
                <w:szCs w:val="24"/>
              </w:rPr>
            </w:pPr>
            <w:r>
              <w:rPr>
                <w:rFonts w:ascii="Times New Roman" w:hAnsi="Times New Roman"/>
                <w:sz w:val="24"/>
                <w:szCs w:val="24"/>
              </w:rPr>
              <w:t>2. „Моторно превозно средство</w:t>
            </w:r>
            <w:r w:rsidRPr="00A72FD4">
              <w:rPr>
                <w:rFonts w:ascii="Times New Roman" w:hAnsi="Times New Roman"/>
                <w:sz w:val="24"/>
                <w:szCs w:val="24"/>
              </w:rPr>
              <w:t>”</w:t>
            </w:r>
            <w:r w:rsidRPr="00F5314F">
              <w:rPr>
                <w:rFonts w:ascii="Times New Roman" w:hAnsi="Times New Roman"/>
                <w:sz w:val="24"/>
                <w:szCs w:val="24"/>
              </w:rPr>
              <w:t xml:space="preserve"> е пътно превозно средство, снабдено с двигател за придвижване, с изключение на релсовите превозни средства.</w:t>
            </w:r>
          </w:p>
          <w:p w14:paraId="31DD7442" w14:textId="77777777" w:rsidR="005121DD" w:rsidRPr="00F5314F" w:rsidRDefault="005121DD" w:rsidP="005121DD">
            <w:pPr>
              <w:pStyle w:val="FootnoteText"/>
              <w:spacing w:after="120"/>
              <w:jc w:val="both"/>
              <w:rPr>
                <w:rFonts w:ascii="Times New Roman" w:hAnsi="Times New Roman"/>
                <w:i/>
                <w:sz w:val="24"/>
                <w:szCs w:val="24"/>
              </w:rPr>
            </w:pPr>
            <w:r w:rsidRPr="00F5314F">
              <w:rPr>
                <w:rFonts w:ascii="Times New Roman" w:hAnsi="Times New Roman"/>
                <w:sz w:val="24"/>
                <w:szCs w:val="24"/>
              </w:rPr>
              <w:t xml:space="preserve">- </w:t>
            </w:r>
            <w:r w:rsidRPr="00F5314F">
              <w:rPr>
                <w:rFonts w:ascii="Times New Roman" w:hAnsi="Times New Roman"/>
                <w:i/>
                <w:sz w:val="24"/>
                <w:szCs w:val="24"/>
              </w:rPr>
              <w:t>Съгласно Закона за гражданското въздухоплаване:</w:t>
            </w:r>
          </w:p>
          <w:p w14:paraId="17C1D17C" w14:textId="3C525F70" w:rsidR="005121DD" w:rsidRDefault="005121DD" w:rsidP="005121DD">
            <w:pPr>
              <w:pStyle w:val="FootnoteText"/>
              <w:spacing w:after="120"/>
              <w:jc w:val="both"/>
              <w:rPr>
                <w:rFonts w:ascii="Times New Roman" w:hAnsi="Times New Roman"/>
                <w:sz w:val="24"/>
                <w:szCs w:val="24"/>
              </w:rPr>
            </w:pPr>
            <w:r>
              <w:rPr>
                <w:rFonts w:ascii="Times New Roman" w:hAnsi="Times New Roman"/>
                <w:sz w:val="24"/>
                <w:szCs w:val="24"/>
              </w:rPr>
              <w:t>1. „Въздухоплавателно средство</w:t>
            </w:r>
            <w:r w:rsidRPr="00090CA6">
              <w:rPr>
                <w:rFonts w:ascii="Times New Roman" w:hAnsi="Times New Roman"/>
                <w:sz w:val="24"/>
                <w:szCs w:val="24"/>
              </w:rPr>
              <w:t>”</w:t>
            </w:r>
            <w:r w:rsidRPr="00F5314F">
              <w:rPr>
                <w:rFonts w:ascii="Times New Roman" w:hAnsi="Times New Roman"/>
                <w:sz w:val="24"/>
                <w:szCs w:val="24"/>
              </w:rPr>
              <w:t xml:space="preserve"> е всяко средство,  което може да получи поддържане в атмосферата за сметка на реакцията на въздуха, освен реакцията на въздуха от земната повърхност.</w:t>
            </w:r>
          </w:p>
          <w:p w14:paraId="63B1B963" w14:textId="2997E402" w:rsidR="005121DD" w:rsidRPr="005034BF" w:rsidRDefault="005121DD" w:rsidP="005121DD">
            <w:pPr>
              <w:pStyle w:val="FootnoteText"/>
              <w:spacing w:after="120"/>
              <w:jc w:val="both"/>
              <w:rPr>
                <w:rFonts w:ascii="Times New Roman" w:hAnsi="Times New Roman"/>
                <w:b/>
                <w:sz w:val="24"/>
                <w:szCs w:val="24"/>
              </w:rPr>
            </w:pPr>
            <w:r w:rsidRPr="005034BF">
              <w:rPr>
                <w:rFonts w:ascii="Times New Roman" w:hAnsi="Times New Roman"/>
                <w:b/>
                <w:sz w:val="24"/>
                <w:szCs w:val="24"/>
              </w:rPr>
              <w:t xml:space="preserve">За целите на настоящата процедура </w:t>
            </w:r>
            <w:r>
              <w:rPr>
                <w:rFonts w:ascii="Times New Roman" w:hAnsi="Times New Roman"/>
                <w:b/>
                <w:sz w:val="24"/>
                <w:szCs w:val="24"/>
              </w:rPr>
              <w:t xml:space="preserve">в ограничението </w:t>
            </w:r>
            <w:r w:rsidRPr="005034BF">
              <w:rPr>
                <w:rFonts w:ascii="Times New Roman" w:hAnsi="Times New Roman"/>
                <w:b/>
                <w:sz w:val="24"/>
                <w:szCs w:val="24"/>
              </w:rPr>
              <w:t>не попадат безпилотни въздухоплавателни средства (дронове) съгласно т. 74, § 3 от Допълнителните разпоредби на Закона за гражданското въздухоплаване, които не се използват за превоз на пътници или услуги по товарен превоз за чужда сметка или срещу възнаграждение.</w:t>
            </w:r>
          </w:p>
          <w:p w14:paraId="018E3CCB" w14:textId="77777777" w:rsidR="005121DD" w:rsidRPr="00F5314F" w:rsidRDefault="005121DD" w:rsidP="005121DD">
            <w:pPr>
              <w:pStyle w:val="FootnoteText"/>
              <w:spacing w:after="120"/>
              <w:jc w:val="both"/>
              <w:rPr>
                <w:rFonts w:ascii="Times New Roman" w:hAnsi="Times New Roman"/>
                <w:i/>
                <w:sz w:val="24"/>
                <w:szCs w:val="24"/>
              </w:rPr>
            </w:pPr>
            <w:r w:rsidRPr="00F5314F">
              <w:rPr>
                <w:rFonts w:ascii="Times New Roman" w:hAnsi="Times New Roman"/>
                <w:sz w:val="24"/>
                <w:szCs w:val="24"/>
              </w:rPr>
              <w:t xml:space="preserve"> - </w:t>
            </w:r>
            <w:r w:rsidRPr="00F5314F">
              <w:rPr>
                <w:rFonts w:ascii="Times New Roman" w:hAnsi="Times New Roman"/>
                <w:i/>
                <w:sz w:val="24"/>
                <w:szCs w:val="24"/>
              </w:rPr>
              <w:t>Съгласно Закона за железопътния транспорт:</w:t>
            </w:r>
          </w:p>
          <w:p w14:paraId="48BEFACF" w14:textId="77777777" w:rsidR="005121DD" w:rsidRPr="00F5314F" w:rsidRDefault="005121DD" w:rsidP="005121DD">
            <w:pPr>
              <w:pStyle w:val="FootnoteText"/>
              <w:spacing w:after="120"/>
              <w:jc w:val="both"/>
              <w:rPr>
                <w:rFonts w:ascii="Times New Roman" w:hAnsi="Times New Roman"/>
                <w:sz w:val="24"/>
                <w:szCs w:val="24"/>
              </w:rPr>
            </w:pPr>
            <w:r w:rsidRPr="00F5314F">
              <w:rPr>
                <w:rFonts w:ascii="Times New Roman" w:hAnsi="Times New Roman"/>
                <w:sz w:val="24"/>
                <w:szCs w:val="24"/>
              </w:rPr>
              <w:t>1. „Влак” е подреден и скачен състав от вагони с един или повече локомотиви в работно състояние, снабден със сигнали и влакови документи. Локомотиви, мотрисни влакове, мотриси, моторни дрезини и други моторни возила, несваляеми от пътя, отправени на междугарие, се смятат за влакове.</w:t>
            </w:r>
          </w:p>
          <w:p w14:paraId="61A8A07B" w14:textId="77777777" w:rsidR="005121DD" w:rsidRPr="00F5314F" w:rsidRDefault="005121DD" w:rsidP="005121DD">
            <w:pPr>
              <w:pStyle w:val="FootnoteText"/>
              <w:spacing w:after="120"/>
              <w:jc w:val="both"/>
              <w:rPr>
                <w:rFonts w:ascii="Times New Roman" w:hAnsi="Times New Roman"/>
                <w:i/>
                <w:sz w:val="24"/>
                <w:szCs w:val="24"/>
              </w:rPr>
            </w:pPr>
            <w:r w:rsidRPr="00F5314F">
              <w:rPr>
                <w:rFonts w:ascii="Times New Roman" w:hAnsi="Times New Roman"/>
                <w:sz w:val="24"/>
                <w:szCs w:val="24"/>
              </w:rPr>
              <w:t xml:space="preserve"> </w:t>
            </w:r>
            <w:r w:rsidRPr="00F5314F">
              <w:rPr>
                <w:rFonts w:ascii="Times New Roman" w:hAnsi="Times New Roman"/>
                <w:i/>
                <w:sz w:val="24"/>
                <w:szCs w:val="24"/>
              </w:rPr>
              <w:t>- Съгласно Закона за морските пространства, вътрешните водни пътища и пристанищата на Република България:</w:t>
            </w:r>
          </w:p>
          <w:p w14:paraId="1D21665A" w14:textId="77777777" w:rsidR="005121DD" w:rsidRPr="00F5314F" w:rsidRDefault="005121DD" w:rsidP="005121DD">
            <w:pPr>
              <w:pStyle w:val="FootnoteText"/>
              <w:spacing w:after="120"/>
              <w:jc w:val="both"/>
              <w:rPr>
                <w:rFonts w:ascii="Times New Roman" w:hAnsi="Times New Roman"/>
                <w:sz w:val="24"/>
                <w:szCs w:val="24"/>
              </w:rPr>
            </w:pPr>
            <w:r w:rsidRPr="00F5314F">
              <w:rPr>
                <w:rFonts w:ascii="Times New Roman" w:hAnsi="Times New Roman"/>
                <w:sz w:val="24"/>
                <w:szCs w:val="24"/>
              </w:rPr>
              <w:lastRenderedPageBreak/>
              <w:t>1. „Яхта”  е кораб, използван за туризъм, спорт, спортен риболов или развлечение.</w:t>
            </w:r>
          </w:p>
          <w:p w14:paraId="0E33E1B2" w14:textId="77777777" w:rsidR="005121DD" w:rsidRDefault="005121DD" w:rsidP="005121DD">
            <w:pPr>
              <w:pStyle w:val="FootnoteText"/>
              <w:spacing w:after="120"/>
              <w:jc w:val="both"/>
              <w:rPr>
                <w:rFonts w:ascii="Times New Roman" w:hAnsi="Times New Roman"/>
                <w:sz w:val="24"/>
                <w:szCs w:val="24"/>
              </w:rPr>
            </w:pPr>
            <w:r w:rsidRPr="00F5314F">
              <w:rPr>
                <w:rFonts w:ascii="Times New Roman" w:hAnsi="Times New Roman"/>
                <w:sz w:val="24"/>
                <w:szCs w:val="24"/>
              </w:rPr>
              <w:t>2. „Кораб” е всяко самоходно или несамоходно плавателно съоръжение от какъвто и да е тип, включително съдове на подводни криле, на въздушна възглавница, подводници, плаващи средства и неподвижни или плаващи платформи, предназначени за плаване по море и/или река, независимо от знамето, под което плава, и което се използва за извършване на една или няколко от следните дейности: превоз на товари, превоз на пътници и багажи; влачене на плавателни съоръжения; извършване на морски услуги и други помощни операции; риболов; експлоатация на други морски богатства, както и други дейности.</w:t>
            </w:r>
          </w:p>
          <w:p w14:paraId="2560521B" w14:textId="17661CC0" w:rsidR="005121DD" w:rsidRPr="006B7F3D" w:rsidRDefault="005121DD" w:rsidP="005121DD">
            <w:pPr>
              <w:pStyle w:val="FootnoteText"/>
              <w:spacing w:after="120"/>
              <w:jc w:val="both"/>
              <w:rPr>
                <w:rFonts w:ascii="Times New Roman" w:hAnsi="Times New Roman"/>
                <w:sz w:val="24"/>
                <w:szCs w:val="24"/>
              </w:rPr>
            </w:pPr>
            <w:r w:rsidRPr="000538D7">
              <w:rPr>
                <w:rFonts w:ascii="Times New Roman" w:hAnsi="Times New Roman"/>
                <w:sz w:val="24"/>
                <w:szCs w:val="24"/>
              </w:rPr>
              <w:t>За целите на настоящата процедура за „транспортни средства” не се считат съоръженията, които се придвижват само на територията на предприятието или се използват единствено за вътрешно технологичен транспорт, в случай че същите не се придвижват по пътищата. Това трябва да бъде задължително посочено от кандидатите във Формуляра за кандидатстване (в раздел „План за изпълнение/Дейности по проекта”), в случай че по проектното предложение е предвидено придобиването на подобни съоръжения.</w:t>
            </w:r>
          </w:p>
        </w:tc>
      </w:tr>
      <w:tr w:rsidR="005121DD" w:rsidRPr="00F5314F" w14:paraId="3B8D6CA5" w14:textId="77777777" w:rsidTr="006B7F3D">
        <w:tc>
          <w:tcPr>
            <w:tcW w:w="2405" w:type="dxa"/>
            <w:shd w:val="clear" w:color="auto" w:fill="E6E6E6"/>
          </w:tcPr>
          <w:p w14:paraId="1049E057" w14:textId="77777777" w:rsidR="005121DD" w:rsidRPr="00F5314F" w:rsidRDefault="005121DD" w:rsidP="005121DD">
            <w:pPr>
              <w:spacing w:after="120" w:line="240" w:lineRule="auto"/>
              <w:rPr>
                <w:rFonts w:ascii="Times New Roman" w:hAnsi="Times New Roman"/>
                <w:sz w:val="24"/>
                <w:szCs w:val="24"/>
              </w:rPr>
            </w:pPr>
            <w:r w:rsidRPr="00F5314F">
              <w:rPr>
                <w:rFonts w:ascii="Times New Roman" w:eastAsia="Times New Roman" w:hAnsi="Times New Roman"/>
                <w:b/>
                <w:snapToGrid w:val="0"/>
                <w:sz w:val="24"/>
                <w:szCs w:val="24"/>
              </w:rPr>
              <w:lastRenderedPageBreak/>
              <w:t>Търговия със селскостопански продукт</w:t>
            </w:r>
          </w:p>
        </w:tc>
        <w:tc>
          <w:tcPr>
            <w:tcW w:w="7371" w:type="dxa"/>
            <w:shd w:val="clear" w:color="auto" w:fill="F3F3F3"/>
          </w:tcPr>
          <w:p w14:paraId="7D302878" w14:textId="6C11D751" w:rsidR="005121DD" w:rsidRPr="00F5314F" w:rsidRDefault="005121DD" w:rsidP="005121D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Съгласно чл. 2, пар. 8 от Регламент (ЕС) № 651/2014 </w:t>
            </w:r>
            <w:r w:rsidRPr="00F5314F">
              <w:rPr>
                <w:rFonts w:ascii="Times New Roman" w:hAnsi="Times New Roman"/>
                <w:sz w:val="24"/>
                <w:szCs w:val="24"/>
              </w:rPr>
              <w:t xml:space="preserve">и </w:t>
            </w:r>
            <w:r w:rsidRPr="00F5314F">
              <w:rPr>
                <w:rFonts w:ascii="Times New Roman" w:eastAsia="Times New Roman" w:hAnsi="Times New Roman"/>
                <w:snapToGrid w:val="0"/>
                <w:sz w:val="24"/>
                <w:szCs w:val="24"/>
              </w:rPr>
              <w:t xml:space="preserve">чл. 2, пар. 1, буква </w:t>
            </w:r>
            <w:r>
              <w:rPr>
                <w:rFonts w:ascii="Times New Roman" w:eastAsia="Times New Roman" w:hAnsi="Times New Roman"/>
                <w:snapToGrid w:val="0"/>
                <w:sz w:val="24"/>
                <w:szCs w:val="24"/>
              </w:rPr>
              <w:t>г</w:t>
            </w:r>
            <w:r w:rsidRPr="00F5314F">
              <w:rPr>
                <w:rFonts w:ascii="Times New Roman" w:eastAsia="Times New Roman" w:hAnsi="Times New Roman"/>
                <w:snapToGrid w:val="0"/>
                <w:sz w:val="24"/>
                <w:szCs w:val="24"/>
              </w:rPr>
              <w:t xml:space="preserve">) от Регламент (ЕО) № </w:t>
            </w:r>
            <w:r w:rsidRPr="00440C16">
              <w:rPr>
                <w:rFonts w:ascii="Times New Roman" w:eastAsia="Times New Roman" w:hAnsi="Times New Roman"/>
                <w:snapToGrid w:val="0"/>
                <w:sz w:val="24"/>
                <w:szCs w:val="24"/>
              </w:rPr>
              <w:t>2023/2831</w:t>
            </w:r>
            <w:r w:rsidRPr="00F5314F">
              <w:rPr>
                <w:rFonts w:ascii="Times New Roman" w:eastAsia="Times New Roman" w:hAnsi="Times New Roman"/>
                <w:snapToGrid w:val="0"/>
                <w:sz w:val="24"/>
                <w:szCs w:val="24"/>
              </w:rPr>
              <w:t>, „търго</w:t>
            </w:r>
            <w:r>
              <w:rPr>
                <w:rFonts w:ascii="Times New Roman" w:eastAsia="Times New Roman" w:hAnsi="Times New Roman"/>
                <w:snapToGrid w:val="0"/>
                <w:sz w:val="24"/>
                <w:szCs w:val="24"/>
              </w:rPr>
              <w:t>вия със селскостопански продукт</w:t>
            </w:r>
            <w:r w:rsidRPr="002C522A">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означава държане или излагане с цел продажба, предлагане за продажба, доставяне или пускане на пазара по друг начин, с изключение на първата продажба от първичния производител на прекупвачи или преработватели, както и всяка една дейност по подготвяне на продукта за тази първа продажба; продажбата от първичен производител на крайни потребители се счита за търговия, ако се осъщест</w:t>
            </w:r>
            <w:r>
              <w:rPr>
                <w:rFonts w:ascii="Times New Roman" w:eastAsia="Times New Roman" w:hAnsi="Times New Roman"/>
                <w:snapToGrid w:val="0"/>
                <w:sz w:val="24"/>
                <w:szCs w:val="24"/>
              </w:rPr>
              <w:t>в</w:t>
            </w:r>
            <w:r w:rsidRPr="00F5314F">
              <w:rPr>
                <w:rFonts w:ascii="Times New Roman" w:eastAsia="Times New Roman" w:hAnsi="Times New Roman"/>
                <w:snapToGrid w:val="0"/>
                <w:sz w:val="24"/>
                <w:szCs w:val="24"/>
              </w:rPr>
              <w:t>ява в отделни помещения, предвидени за тази цел.</w:t>
            </w:r>
          </w:p>
        </w:tc>
      </w:tr>
      <w:tr w:rsidR="005121DD" w:rsidRPr="009D7B8B" w14:paraId="20483A6B" w14:textId="77777777" w:rsidTr="006B7F3D">
        <w:tc>
          <w:tcPr>
            <w:tcW w:w="2405" w:type="dxa"/>
            <w:shd w:val="clear" w:color="auto" w:fill="E6E6E6"/>
          </w:tcPr>
          <w:p w14:paraId="4538CBCB" w14:textId="13CA7070" w:rsidR="005121DD" w:rsidRPr="00F5314F" w:rsidRDefault="005121DD" w:rsidP="005121D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Харта на основните права на Европейския съюз</w:t>
            </w:r>
          </w:p>
        </w:tc>
        <w:tc>
          <w:tcPr>
            <w:tcW w:w="7371" w:type="dxa"/>
            <w:shd w:val="clear" w:color="auto" w:fill="F3F3F3"/>
          </w:tcPr>
          <w:p w14:paraId="2EEEF560" w14:textId="31CF86B9" w:rsidR="005121DD" w:rsidRPr="007F0BA5" w:rsidRDefault="005121DD" w:rsidP="005121D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Прилагането и изпълнението на Хартата на основните права на Европейския съюз</w:t>
            </w:r>
            <w:r w:rsidRPr="00F5314F">
              <w:rPr>
                <w:rStyle w:val="FootnoteReference"/>
                <w:rFonts w:ascii="Times New Roman" w:eastAsia="Times New Roman" w:hAnsi="Times New Roman"/>
                <w:snapToGrid w:val="0"/>
                <w:sz w:val="24"/>
                <w:szCs w:val="24"/>
              </w:rPr>
              <w:footnoteReference w:id="3"/>
            </w:r>
            <w:r w:rsidRPr="00F5314F">
              <w:rPr>
                <w:rFonts w:ascii="Times New Roman" w:eastAsia="Times New Roman" w:hAnsi="Times New Roman"/>
                <w:snapToGrid w:val="0"/>
                <w:sz w:val="24"/>
                <w:szCs w:val="24"/>
              </w:rPr>
              <w:t xml:space="preserve"> (ЕС) цели осигуряване на зачитането и защитата на всички основни права на ЕС, сред които са: защита на личните данни, недискриминация, равенство между жените и мъжете, интеграция на хората с увреждания, равенство пред закона,  опазване на околната среда, право на ефективни правни средства за защита и на справедлив съдебен процес, справедливи условия на труд, правата на детето, свобода на изразяване на мнение и свобода на информация, свобода на събранията и сдруженията,  право на образование, свобода на стопанската инициатива, право на собственост, защита в случай на принудително отвеждане, експулсиране и екстрадиране, зачитане на личния и семейния живот, право на убежище.</w:t>
            </w:r>
          </w:p>
        </w:tc>
      </w:tr>
      <w:tr w:rsidR="0063020E" w:rsidRPr="009D7B8B" w14:paraId="7F92BC27" w14:textId="77777777" w:rsidTr="006B7F3D">
        <w:tc>
          <w:tcPr>
            <w:tcW w:w="2405" w:type="dxa"/>
            <w:shd w:val="clear" w:color="auto" w:fill="E6E6E6"/>
          </w:tcPr>
          <w:p w14:paraId="40A062C4" w14:textId="265CA5C7" w:rsidR="0063020E" w:rsidRPr="00F5314F" w:rsidRDefault="0063020E" w:rsidP="0063020E">
            <w:pPr>
              <w:spacing w:after="120" w:line="240" w:lineRule="auto"/>
              <w:rPr>
                <w:rFonts w:ascii="Times New Roman" w:eastAsia="Times New Roman" w:hAnsi="Times New Roman"/>
                <w:b/>
                <w:snapToGrid w:val="0"/>
                <w:sz w:val="24"/>
                <w:szCs w:val="24"/>
              </w:rPr>
            </w:pPr>
            <w:r w:rsidRPr="00997983">
              <w:rPr>
                <w:rFonts w:ascii="Times New Roman" w:eastAsia="Times New Roman" w:hAnsi="Times New Roman"/>
                <w:b/>
                <w:snapToGrid w:val="0"/>
                <w:sz w:val="24"/>
                <w:szCs w:val="24"/>
              </w:rPr>
              <w:t>Широколентова инфраструктура</w:t>
            </w:r>
          </w:p>
        </w:tc>
        <w:tc>
          <w:tcPr>
            <w:tcW w:w="7371" w:type="dxa"/>
            <w:shd w:val="clear" w:color="auto" w:fill="F3F3F3"/>
          </w:tcPr>
          <w:p w14:paraId="6C3C0EF5" w14:textId="77777777" w:rsidR="0063020E" w:rsidRDefault="0063020E" w:rsidP="0063020E">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Съгласно чл. 2, пар. 137 </w:t>
            </w:r>
            <w:r w:rsidRPr="00F5314F">
              <w:rPr>
                <w:rFonts w:ascii="Times New Roman" w:eastAsia="Times New Roman" w:hAnsi="Times New Roman"/>
                <w:snapToGrid w:val="0"/>
                <w:sz w:val="24"/>
                <w:szCs w:val="24"/>
              </w:rPr>
              <w:t xml:space="preserve">от Регламент (ЕС) № 651/2014 </w:t>
            </w:r>
            <w:r w:rsidRPr="00997983">
              <w:rPr>
                <w:rFonts w:ascii="Times New Roman" w:eastAsia="Times New Roman" w:hAnsi="Times New Roman"/>
                <w:snapToGrid w:val="0"/>
                <w:sz w:val="24"/>
                <w:szCs w:val="24"/>
              </w:rPr>
              <w:t xml:space="preserve">„широколентова инфраструктура“ означава широколентова мрежа без активни компоненти, която включва физическата инфраструктура, включително проводи, стълбове, мачти, кули, неизползвани оптични </w:t>
            </w:r>
            <w:r w:rsidRPr="00997983">
              <w:rPr>
                <w:rFonts w:ascii="Times New Roman" w:eastAsia="Times New Roman" w:hAnsi="Times New Roman"/>
                <w:snapToGrid w:val="0"/>
                <w:sz w:val="24"/>
                <w:szCs w:val="24"/>
              </w:rPr>
              <w:lastRenderedPageBreak/>
              <w:t>нишки, разпределителни кутии и кабели (включително неизползвани оптични нишки и медни кабели)</w:t>
            </w:r>
            <w:r>
              <w:rPr>
                <w:rFonts w:ascii="Times New Roman" w:eastAsia="Times New Roman" w:hAnsi="Times New Roman"/>
                <w:snapToGrid w:val="0"/>
                <w:sz w:val="24"/>
                <w:szCs w:val="24"/>
              </w:rPr>
              <w:t>.</w:t>
            </w:r>
          </w:p>
          <w:p w14:paraId="63F9C1F5" w14:textId="336ADD03" w:rsidR="009E4DEF" w:rsidRPr="00F5314F" w:rsidRDefault="0063020E" w:rsidP="0063020E">
            <w:pPr>
              <w:spacing w:after="120" w:line="240" w:lineRule="auto"/>
              <w:jc w:val="both"/>
              <w:rPr>
                <w:rFonts w:ascii="Times New Roman" w:eastAsia="Times New Roman" w:hAnsi="Times New Roman"/>
                <w:snapToGrid w:val="0"/>
                <w:sz w:val="24"/>
                <w:szCs w:val="24"/>
              </w:rPr>
            </w:pPr>
            <w:r w:rsidRPr="0063020E">
              <w:rPr>
                <w:rFonts w:ascii="Times New Roman" w:eastAsia="Times New Roman" w:hAnsi="Times New Roman"/>
                <w:snapToGrid w:val="0"/>
                <w:sz w:val="24"/>
                <w:szCs w:val="24"/>
              </w:rPr>
              <w:t xml:space="preserve">По-специално, „сектор на широколентовия интернет” се счита за част от </w:t>
            </w:r>
            <w:r w:rsidRPr="0063020E">
              <w:rPr>
                <w:rFonts w:ascii="Times New Roman" w:eastAsia="Times New Roman" w:hAnsi="Times New Roman"/>
                <w:i/>
                <w:snapToGrid w:val="0"/>
                <w:sz w:val="24"/>
                <w:szCs w:val="24"/>
              </w:rPr>
              <w:t>К61 „Телекомуникации“</w:t>
            </w:r>
            <w:r w:rsidRPr="0063020E">
              <w:rPr>
                <w:rFonts w:ascii="Times New Roman" w:eastAsia="Times New Roman" w:hAnsi="Times New Roman"/>
                <w:snapToGrid w:val="0"/>
                <w:sz w:val="24"/>
                <w:szCs w:val="24"/>
              </w:rPr>
              <w:t xml:space="preserve"> съгласно</w:t>
            </w:r>
            <w:r>
              <w:rPr>
                <w:rFonts w:ascii="Times New Roman" w:eastAsia="Times New Roman" w:hAnsi="Times New Roman"/>
                <w:snapToGrid w:val="0"/>
                <w:sz w:val="24"/>
                <w:szCs w:val="24"/>
              </w:rPr>
              <w:t xml:space="preserve"> </w:t>
            </w:r>
            <w:r w:rsidR="00463567">
              <w:rPr>
                <w:rFonts w:ascii="Times New Roman" w:eastAsia="Times New Roman" w:hAnsi="Times New Roman"/>
                <w:snapToGrid w:val="0"/>
                <w:sz w:val="24"/>
                <w:szCs w:val="24"/>
              </w:rPr>
              <w:t xml:space="preserve">КИД-2025 и </w:t>
            </w:r>
            <w:r w:rsidRPr="0063020E">
              <w:rPr>
                <w:rFonts w:ascii="Times New Roman" w:eastAsia="Times New Roman" w:hAnsi="Times New Roman"/>
                <w:snapToGrid w:val="0"/>
                <w:sz w:val="24"/>
                <w:szCs w:val="24"/>
              </w:rPr>
              <w:t xml:space="preserve">статистическата класификация на икономическите дейности NACE 2025 (NACE Rev. 2.1 съгласно Делегиран регламент (ЕС) № 2023/137 на Комисията от 10 октомври 2022 г. за изменение на Регламент (ЕО) № 1893/2006 на Европейския парламент и на Съвета) и по-конкретно попада в обхвата на </w:t>
            </w:r>
            <w:r w:rsidRPr="0063020E">
              <w:rPr>
                <w:rFonts w:ascii="Times New Roman" w:eastAsia="Times New Roman" w:hAnsi="Times New Roman"/>
                <w:i/>
                <w:snapToGrid w:val="0"/>
                <w:sz w:val="24"/>
                <w:szCs w:val="24"/>
              </w:rPr>
              <w:t xml:space="preserve">61.10 „Телекомуникационна дейност чрез фиксирани мрежи, по безжичен път и спътникова телекомуникационна дейност” </w:t>
            </w:r>
            <w:r w:rsidRPr="0063020E">
              <w:rPr>
                <w:rFonts w:ascii="Times New Roman" w:eastAsia="Times New Roman" w:hAnsi="Times New Roman"/>
                <w:snapToGrid w:val="0"/>
                <w:sz w:val="24"/>
                <w:szCs w:val="24"/>
              </w:rPr>
              <w:t>съгласно КИД-2025</w:t>
            </w:r>
            <w:r w:rsidR="00463567">
              <w:rPr>
                <w:rFonts w:ascii="Times New Roman" w:eastAsia="Times New Roman" w:hAnsi="Times New Roman"/>
                <w:snapToGrid w:val="0"/>
                <w:sz w:val="24"/>
                <w:szCs w:val="24"/>
              </w:rPr>
              <w:t xml:space="preserve"> и </w:t>
            </w:r>
            <w:r w:rsidR="00463567" w:rsidRPr="0063020E">
              <w:rPr>
                <w:rFonts w:ascii="Times New Roman" w:eastAsia="Times New Roman" w:hAnsi="Times New Roman"/>
                <w:snapToGrid w:val="0"/>
                <w:sz w:val="24"/>
                <w:szCs w:val="24"/>
              </w:rPr>
              <w:t>статистическата класификация на икономическите дейности NACE 2025</w:t>
            </w:r>
            <w:r w:rsidRPr="0063020E">
              <w:rPr>
                <w:rFonts w:ascii="Times New Roman" w:eastAsia="Times New Roman" w:hAnsi="Times New Roman"/>
                <w:snapToGrid w:val="0"/>
                <w:sz w:val="24"/>
                <w:szCs w:val="24"/>
              </w:rPr>
              <w:t>.</w:t>
            </w:r>
          </w:p>
        </w:tc>
      </w:tr>
    </w:tbl>
    <w:p w14:paraId="65369CE1" w14:textId="693988A7" w:rsidR="00844514" w:rsidRPr="00257F66" w:rsidRDefault="00844514" w:rsidP="00F07B45">
      <w:pPr>
        <w:rPr>
          <w:rFonts w:ascii="Times New Roman" w:hAnsi="Times New Roman"/>
          <w:sz w:val="24"/>
          <w:szCs w:val="24"/>
        </w:rPr>
      </w:pPr>
    </w:p>
    <w:sectPr w:rsidR="00844514" w:rsidRPr="00257F66" w:rsidSect="00F07B45">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5E2AA" w14:textId="77777777" w:rsidR="009220C7" w:rsidRDefault="009220C7" w:rsidP="00402ACA">
      <w:pPr>
        <w:spacing w:after="0" w:line="240" w:lineRule="auto"/>
      </w:pPr>
      <w:r>
        <w:separator/>
      </w:r>
    </w:p>
  </w:endnote>
  <w:endnote w:type="continuationSeparator" w:id="0">
    <w:p w14:paraId="49EA2D0B" w14:textId="77777777" w:rsidR="009220C7" w:rsidRDefault="009220C7" w:rsidP="00402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771B6" w14:textId="77777777" w:rsidR="00841870" w:rsidRDefault="00841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2392264"/>
      <w:docPartObj>
        <w:docPartGallery w:val="Page Numbers (Bottom of Page)"/>
        <w:docPartUnique/>
      </w:docPartObj>
    </w:sdtPr>
    <w:sdtEndPr>
      <w:rPr>
        <w:noProof/>
      </w:rPr>
    </w:sdtEndPr>
    <w:sdtContent>
      <w:p w14:paraId="5B82974D" w14:textId="2A69FBA4" w:rsidR="00991CB4" w:rsidRDefault="006C46DB">
        <w:pPr>
          <w:pStyle w:val="Footer"/>
          <w:jc w:val="right"/>
        </w:pPr>
        <w:r>
          <w:fldChar w:fldCharType="begin"/>
        </w:r>
        <w:r w:rsidR="00991CB4">
          <w:instrText xml:space="preserve"> PAGE   \* MERGEFORMAT </w:instrText>
        </w:r>
        <w:r>
          <w:fldChar w:fldCharType="separate"/>
        </w:r>
        <w:r w:rsidR="00B572FC">
          <w:rPr>
            <w:noProof/>
          </w:rPr>
          <w:t>21</w:t>
        </w:r>
        <w:r>
          <w:rPr>
            <w:noProof/>
          </w:rPr>
          <w:fldChar w:fldCharType="end"/>
        </w:r>
      </w:p>
    </w:sdtContent>
  </w:sdt>
  <w:p w14:paraId="3BF3566A" w14:textId="77777777" w:rsidR="008B1316" w:rsidRDefault="008B1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A5587" w14:textId="77777777" w:rsidR="00841870" w:rsidRDefault="00841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47D4E" w14:textId="77777777" w:rsidR="009220C7" w:rsidRDefault="009220C7" w:rsidP="00402ACA">
      <w:pPr>
        <w:spacing w:after="0" w:line="240" w:lineRule="auto"/>
      </w:pPr>
      <w:r>
        <w:separator/>
      </w:r>
    </w:p>
  </w:footnote>
  <w:footnote w:type="continuationSeparator" w:id="0">
    <w:p w14:paraId="649D5789" w14:textId="77777777" w:rsidR="009220C7" w:rsidRDefault="009220C7" w:rsidP="00402ACA">
      <w:pPr>
        <w:spacing w:after="0" w:line="240" w:lineRule="auto"/>
      </w:pPr>
      <w:r>
        <w:continuationSeparator/>
      </w:r>
    </w:p>
  </w:footnote>
  <w:footnote w:id="1">
    <w:p w14:paraId="36C99DC6" w14:textId="004FEDEF" w:rsidR="00370E4D" w:rsidRPr="00370E4D" w:rsidRDefault="00370E4D">
      <w:pPr>
        <w:pStyle w:val="FootnoteText"/>
        <w:rPr>
          <w:rFonts w:ascii="Times New Roman" w:hAnsi="Times New Roman"/>
        </w:rPr>
      </w:pPr>
      <w:r w:rsidRPr="00370E4D">
        <w:rPr>
          <w:rStyle w:val="FootnoteReference"/>
          <w:rFonts w:ascii="Times New Roman" w:hAnsi="Times New Roman"/>
        </w:rPr>
        <w:footnoteRef/>
      </w:r>
      <w:r w:rsidRPr="00370E4D">
        <w:rPr>
          <w:rFonts w:ascii="Times New Roman" w:hAnsi="Times New Roman"/>
        </w:rPr>
        <w:t xml:space="preserve"> Определенията в настоящото Приложение 10 са представени по азбучен ред.</w:t>
      </w:r>
    </w:p>
  </w:footnote>
  <w:footnote w:id="2">
    <w:p w14:paraId="2B54907D" w14:textId="6635271E" w:rsidR="001A74FE" w:rsidRPr="003D0798" w:rsidRDefault="001A74FE" w:rsidP="003D0798">
      <w:pPr>
        <w:pStyle w:val="FootnoteText"/>
        <w:jc w:val="both"/>
        <w:rPr>
          <w:rFonts w:ascii="Times New Roman" w:hAnsi="Times New Roman"/>
        </w:rPr>
      </w:pPr>
      <w:r w:rsidRPr="003D0798">
        <w:rPr>
          <w:rStyle w:val="FootnoteReference"/>
          <w:rFonts w:ascii="Times New Roman" w:hAnsi="Times New Roman"/>
        </w:rPr>
        <w:footnoteRef/>
      </w:r>
      <w:r w:rsidRPr="003D0798">
        <w:rPr>
          <w:rFonts w:ascii="Times New Roman" w:hAnsi="Times New Roman"/>
        </w:rPr>
        <w:t xml:space="preserve"> Пълният текст на Конвенцията може да се намери на </w:t>
      </w:r>
      <w:r>
        <w:rPr>
          <w:rFonts w:ascii="Times New Roman" w:hAnsi="Times New Roman"/>
        </w:rPr>
        <w:t xml:space="preserve">следния </w:t>
      </w:r>
      <w:r w:rsidRPr="003D0798">
        <w:rPr>
          <w:rFonts w:ascii="Times New Roman" w:hAnsi="Times New Roman"/>
        </w:rPr>
        <w:t xml:space="preserve">адрес: </w:t>
      </w:r>
    </w:p>
    <w:p w14:paraId="1BA688AE" w14:textId="23F9FA6D" w:rsidR="001A74FE" w:rsidRPr="003D0798" w:rsidRDefault="009220C7" w:rsidP="003D0798">
      <w:pPr>
        <w:pStyle w:val="FootnoteText"/>
        <w:rPr>
          <w:rFonts w:ascii="Times New Roman" w:hAnsi="Times New Roman"/>
        </w:rPr>
      </w:pPr>
      <w:hyperlink r:id="rId1" w:anchor="1" w:history="1">
        <w:r w:rsidR="001A74FE" w:rsidRPr="003D0798">
          <w:rPr>
            <w:rStyle w:val="Hyperlink"/>
            <w:rFonts w:ascii="Times New Roman" w:hAnsi="Times New Roman"/>
          </w:rPr>
          <w:t>https://www.ohchr.org/EN/HRBodies/CRPD/Pages/ConventionRightsPersonsWithDisabilities.aspx#1</w:t>
        </w:r>
      </w:hyperlink>
      <w:r w:rsidR="001A74FE" w:rsidRPr="003D0798">
        <w:rPr>
          <w:rFonts w:ascii="Times New Roman" w:hAnsi="Times New Roman"/>
        </w:rPr>
        <w:t xml:space="preserve"> </w:t>
      </w:r>
    </w:p>
  </w:footnote>
  <w:footnote w:id="3">
    <w:p w14:paraId="01703091" w14:textId="1A58AD20" w:rsidR="005121DD" w:rsidRPr="00013823" w:rsidRDefault="005121DD" w:rsidP="00013823">
      <w:pPr>
        <w:pStyle w:val="FootnoteText"/>
        <w:jc w:val="both"/>
        <w:rPr>
          <w:rFonts w:ascii="Times New Roman" w:hAnsi="Times New Roman"/>
        </w:rPr>
      </w:pPr>
      <w:r w:rsidRPr="00013823">
        <w:rPr>
          <w:rStyle w:val="FootnoteReference"/>
          <w:rFonts w:ascii="Times New Roman" w:hAnsi="Times New Roman"/>
        </w:rPr>
        <w:footnoteRef/>
      </w:r>
      <w:r w:rsidRPr="00013823">
        <w:rPr>
          <w:rFonts w:ascii="Times New Roman" w:hAnsi="Times New Roman"/>
        </w:rPr>
        <w:t xml:space="preserve"> Пълният текст на Хартата може да се намери на следния адрес: </w:t>
      </w:r>
      <w:hyperlink r:id="rId2" w:history="1">
        <w:r w:rsidRPr="00013823">
          <w:rPr>
            <w:rStyle w:val="Hyperlink"/>
            <w:rFonts w:ascii="Times New Roman" w:hAnsi="Times New Roman"/>
          </w:rPr>
          <w:t>https://eur-lex.europa.eu/legal-content/BG/TXT/?uri=celex%3A12012P%2FTXT</w:t>
        </w:r>
      </w:hyperlink>
      <w:r w:rsidRPr="00013823">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1D182" w14:textId="77777777" w:rsidR="00841870" w:rsidRDefault="008418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FDCC3" w14:textId="27736EDA" w:rsidR="00402ACA" w:rsidRDefault="00522F04" w:rsidP="00522F04">
    <w:pPr>
      <w:pStyle w:val="Header"/>
      <w:tabs>
        <w:tab w:val="clear" w:pos="4536"/>
      </w:tabs>
    </w:pPr>
    <w:r w:rsidRPr="00522F04">
      <w:rPr>
        <w:rFonts w:ascii="Times New Roman" w:eastAsia="Times New Roman" w:hAnsi="Times New Roman"/>
        <w:i/>
        <w:noProof/>
        <w:sz w:val="24"/>
        <w:szCs w:val="24"/>
        <w:lang w:eastAsia="bg-BG"/>
      </w:rPr>
      <w:drawing>
        <wp:inline distT="0" distB="0" distL="0" distR="0" wp14:anchorId="17E962D7" wp14:editId="6F818B20">
          <wp:extent cx="2009775" cy="46609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r>
      <w:rPr>
        <w:rFonts w:ascii="Times New Roman" w:eastAsia="Times New Roman" w:hAnsi="Times New Roman"/>
        <w:i/>
        <w:noProof/>
        <w:sz w:val="24"/>
        <w:szCs w:val="24"/>
        <w:lang w:eastAsia="bg-BG"/>
      </w:rPr>
      <w:t xml:space="preserve">                                 </w:t>
    </w:r>
    <w:r w:rsidRPr="00522F04">
      <w:rPr>
        <w:rFonts w:ascii="Times New Roman" w:eastAsia="Times New Roman" w:hAnsi="Times New Roman"/>
        <w:i/>
        <w:noProof/>
        <w:sz w:val="24"/>
        <w:szCs w:val="24"/>
        <w:lang w:eastAsia="bg-BG"/>
      </w:rPr>
      <w:drawing>
        <wp:inline distT="0" distB="0" distL="0" distR="0" wp14:anchorId="693D6C0D" wp14:editId="74671C44">
          <wp:extent cx="2191590" cy="526211"/>
          <wp:effectExtent l="0" t="0" r="0" b="7620"/>
          <wp:docPr id="8" name="Picture 8" descr="pkip_horizonta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kip_horizontal_logo"/>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196042" cy="5272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B2560" w14:textId="77777777" w:rsidR="00841870" w:rsidRDefault="00841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0A8"/>
    <w:multiLevelType w:val="hybridMultilevel"/>
    <w:tmpl w:val="60227B0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6DB54D1"/>
    <w:multiLevelType w:val="hybridMultilevel"/>
    <w:tmpl w:val="ACCA62C2"/>
    <w:lvl w:ilvl="0" w:tplc="EBA00D96">
      <w:start w:val="2"/>
      <w:numFmt w:val="bullet"/>
      <w:lvlText w:val="-"/>
      <w:lvlJc w:val="left"/>
      <w:pPr>
        <w:ind w:left="720" w:hanging="360"/>
      </w:pPr>
      <w:rPr>
        <w:rFonts w:ascii="Arial" w:eastAsiaTheme="minorHAnsi"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621579F8"/>
    <w:multiLevelType w:val="hybridMultilevel"/>
    <w:tmpl w:val="24A651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722305E8"/>
    <w:multiLevelType w:val="multilevel"/>
    <w:tmpl w:val="722305E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ACA"/>
    <w:rsid w:val="00013823"/>
    <w:rsid w:val="00013AFD"/>
    <w:rsid w:val="00014E84"/>
    <w:rsid w:val="0002154C"/>
    <w:rsid w:val="00027D5B"/>
    <w:rsid w:val="000319CC"/>
    <w:rsid w:val="00040889"/>
    <w:rsid w:val="00044783"/>
    <w:rsid w:val="000476DB"/>
    <w:rsid w:val="000508B7"/>
    <w:rsid w:val="00052C76"/>
    <w:rsid w:val="000538D7"/>
    <w:rsid w:val="000564D8"/>
    <w:rsid w:val="00090CA6"/>
    <w:rsid w:val="00094D1C"/>
    <w:rsid w:val="00094DE4"/>
    <w:rsid w:val="000A6D9B"/>
    <w:rsid w:val="000A7D1B"/>
    <w:rsid w:val="000B6072"/>
    <w:rsid w:val="000C0034"/>
    <w:rsid w:val="000C3CF6"/>
    <w:rsid w:val="000C72E1"/>
    <w:rsid w:val="000E11CC"/>
    <w:rsid w:val="000F4DE9"/>
    <w:rsid w:val="001107B1"/>
    <w:rsid w:val="00112ACA"/>
    <w:rsid w:val="001250F3"/>
    <w:rsid w:val="00150A63"/>
    <w:rsid w:val="00162EFC"/>
    <w:rsid w:val="0018730F"/>
    <w:rsid w:val="001925A8"/>
    <w:rsid w:val="00192FFB"/>
    <w:rsid w:val="00195B27"/>
    <w:rsid w:val="001A1C69"/>
    <w:rsid w:val="001A6B48"/>
    <w:rsid w:val="001A74FE"/>
    <w:rsid w:val="001B490C"/>
    <w:rsid w:val="001C146F"/>
    <w:rsid w:val="001C4400"/>
    <w:rsid w:val="001D1FFF"/>
    <w:rsid w:val="001D41AC"/>
    <w:rsid w:val="001E42D0"/>
    <w:rsid w:val="001E4702"/>
    <w:rsid w:val="001E7046"/>
    <w:rsid w:val="001F69C8"/>
    <w:rsid w:val="00220F2A"/>
    <w:rsid w:val="00225093"/>
    <w:rsid w:val="002262CD"/>
    <w:rsid w:val="00232A28"/>
    <w:rsid w:val="002337FA"/>
    <w:rsid w:val="002362A7"/>
    <w:rsid w:val="002372B4"/>
    <w:rsid w:val="002531C3"/>
    <w:rsid w:val="00257F66"/>
    <w:rsid w:val="002665DE"/>
    <w:rsid w:val="002674A1"/>
    <w:rsid w:val="002834C4"/>
    <w:rsid w:val="00285D60"/>
    <w:rsid w:val="002A1A4A"/>
    <w:rsid w:val="002C1E68"/>
    <w:rsid w:val="002C522A"/>
    <w:rsid w:val="002D3045"/>
    <w:rsid w:val="002E211C"/>
    <w:rsid w:val="002E21E2"/>
    <w:rsid w:val="002E7968"/>
    <w:rsid w:val="002F3595"/>
    <w:rsid w:val="00307F9F"/>
    <w:rsid w:val="00314711"/>
    <w:rsid w:val="003230E1"/>
    <w:rsid w:val="003314DF"/>
    <w:rsid w:val="00333830"/>
    <w:rsid w:val="0033559F"/>
    <w:rsid w:val="0034268B"/>
    <w:rsid w:val="003453C9"/>
    <w:rsid w:val="00345B68"/>
    <w:rsid w:val="003477A6"/>
    <w:rsid w:val="003525F3"/>
    <w:rsid w:val="003556DE"/>
    <w:rsid w:val="00356E49"/>
    <w:rsid w:val="0035732F"/>
    <w:rsid w:val="00357954"/>
    <w:rsid w:val="00362044"/>
    <w:rsid w:val="003644DF"/>
    <w:rsid w:val="00370E4D"/>
    <w:rsid w:val="0038037E"/>
    <w:rsid w:val="00392C0D"/>
    <w:rsid w:val="003940EB"/>
    <w:rsid w:val="00397070"/>
    <w:rsid w:val="00397527"/>
    <w:rsid w:val="003A35BB"/>
    <w:rsid w:val="003A7795"/>
    <w:rsid w:val="003A79DE"/>
    <w:rsid w:val="003C05E1"/>
    <w:rsid w:val="003C1196"/>
    <w:rsid w:val="003C269A"/>
    <w:rsid w:val="003C31CA"/>
    <w:rsid w:val="003C4032"/>
    <w:rsid w:val="003C736F"/>
    <w:rsid w:val="003D0798"/>
    <w:rsid w:val="003D0B4C"/>
    <w:rsid w:val="003D1FDC"/>
    <w:rsid w:val="003D6CD7"/>
    <w:rsid w:val="003E07BC"/>
    <w:rsid w:val="003E2AA6"/>
    <w:rsid w:val="003E3D1C"/>
    <w:rsid w:val="003E4A81"/>
    <w:rsid w:val="003F11B3"/>
    <w:rsid w:val="003F127D"/>
    <w:rsid w:val="003F416C"/>
    <w:rsid w:val="00402ACA"/>
    <w:rsid w:val="0040632C"/>
    <w:rsid w:val="0040728E"/>
    <w:rsid w:val="00410461"/>
    <w:rsid w:val="0041164D"/>
    <w:rsid w:val="00413102"/>
    <w:rsid w:val="004223CA"/>
    <w:rsid w:val="0042512A"/>
    <w:rsid w:val="00425E64"/>
    <w:rsid w:val="00431285"/>
    <w:rsid w:val="00440C16"/>
    <w:rsid w:val="0044545C"/>
    <w:rsid w:val="00454C6D"/>
    <w:rsid w:val="00456C38"/>
    <w:rsid w:val="00457529"/>
    <w:rsid w:val="0046039F"/>
    <w:rsid w:val="004613D2"/>
    <w:rsid w:val="00463567"/>
    <w:rsid w:val="0046660E"/>
    <w:rsid w:val="00466C62"/>
    <w:rsid w:val="00473834"/>
    <w:rsid w:val="00476328"/>
    <w:rsid w:val="00487A24"/>
    <w:rsid w:val="00493BA5"/>
    <w:rsid w:val="0049488F"/>
    <w:rsid w:val="004A459C"/>
    <w:rsid w:val="004A5609"/>
    <w:rsid w:val="004B08AD"/>
    <w:rsid w:val="004B4ED8"/>
    <w:rsid w:val="004C10AA"/>
    <w:rsid w:val="004C68AF"/>
    <w:rsid w:val="004D25C4"/>
    <w:rsid w:val="004D2E88"/>
    <w:rsid w:val="004D78D8"/>
    <w:rsid w:val="004E1802"/>
    <w:rsid w:val="004E3229"/>
    <w:rsid w:val="005034BF"/>
    <w:rsid w:val="00503ED5"/>
    <w:rsid w:val="00506C76"/>
    <w:rsid w:val="00510243"/>
    <w:rsid w:val="005121DD"/>
    <w:rsid w:val="00515642"/>
    <w:rsid w:val="00522F04"/>
    <w:rsid w:val="0052368F"/>
    <w:rsid w:val="00526568"/>
    <w:rsid w:val="0053494A"/>
    <w:rsid w:val="005365B3"/>
    <w:rsid w:val="00541617"/>
    <w:rsid w:val="005677D5"/>
    <w:rsid w:val="00567EF9"/>
    <w:rsid w:val="00571B09"/>
    <w:rsid w:val="00571CCB"/>
    <w:rsid w:val="0057223C"/>
    <w:rsid w:val="00576068"/>
    <w:rsid w:val="005779DA"/>
    <w:rsid w:val="005813F7"/>
    <w:rsid w:val="00585FDA"/>
    <w:rsid w:val="00593FC9"/>
    <w:rsid w:val="00594527"/>
    <w:rsid w:val="005A2D63"/>
    <w:rsid w:val="005B33F5"/>
    <w:rsid w:val="005B60E6"/>
    <w:rsid w:val="005C0AD9"/>
    <w:rsid w:val="005C5658"/>
    <w:rsid w:val="005C6AC1"/>
    <w:rsid w:val="005D1279"/>
    <w:rsid w:val="005D5E9C"/>
    <w:rsid w:val="005D76CA"/>
    <w:rsid w:val="005F04C4"/>
    <w:rsid w:val="006029FF"/>
    <w:rsid w:val="00610B06"/>
    <w:rsid w:val="00617452"/>
    <w:rsid w:val="00622EF3"/>
    <w:rsid w:val="00626414"/>
    <w:rsid w:val="0063020E"/>
    <w:rsid w:val="00636BBA"/>
    <w:rsid w:val="00645185"/>
    <w:rsid w:val="006510F2"/>
    <w:rsid w:val="006562A4"/>
    <w:rsid w:val="006564B8"/>
    <w:rsid w:val="00664080"/>
    <w:rsid w:val="00670B92"/>
    <w:rsid w:val="006726D9"/>
    <w:rsid w:val="00686327"/>
    <w:rsid w:val="0068676A"/>
    <w:rsid w:val="006879D3"/>
    <w:rsid w:val="00691015"/>
    <w:rsid w:val="00694844"/>
    <w:rsid w:val="006A535F"/>
    <w:rsid w:val="006A54F4"/>
    <w:rsid w:val="006B0667"/>
    <w:rsid w:val="006B0DA6"/>
    <w:rsid w:val="006B43D7"/>
    <w:rsid w:val="006B7F3D"/>
    <w:rsid w:val="006C46DB"/>
    <w:rsid w:val="006C5E22"/>
    <w:rsid w:val="006D06D5"/>
    <w:rsid w:val="006D1521"/>
    <w:rsid w:val="006E063B"/>
    <w:rsid w:val="006E4E32"/>
    <w:rsid w:val="006E5B5B"/>
    <w:rsid w:val="006E71DF"/>
    <w:rsid w:val="00705B39"/>
    <w:rsid w:val="00707B43"/>
    <w:rsid w:val="007159A1"/>
    <w:rsid w:val="00717B92"/>
    <w:rsid w:val="00723E00"/>
    <w:rsid w:val="007311CC"/>
    <w:rsid w:val="007322CA"/>
    <w:rsid w:val="00733C09"/>
    <w:rsid w:val="00734555"/>
    <w:rsid w:val="00734A59"/>
    <w:rsid w:val="00736FBC"/>
    <w:rsid w:val="0074376A"/>
    <w:rsid w:val="00751872"/>
    <w:rsid w:val="0075780B"/>
    <w:rsid w:val="00760C1E"/>
    <w:rsid w:val="00763DB7"/>
    <w:rsid w:val="0076571F"/>
    <w:rsid w:val="007670FD"/>
    <w:rsid w:val="00776F50"/>
    <w:rsid w:val="007779D0"/>
    <w:rsid w:val="00777F1B"/>
    <w:rsid w:val="007858F0"/>
    <w:rsid w:val="00791E18"/>
    <w:rsid w:val="007A188E"/>
    <w:rsid w:val="007C2134"/>
    <w:rsid w:val="007C480D"/>
    <w:rsid w:val="007D3A3A"/>
    <w:rsid w:val="007E55B9"/>
    <w:rsid w:val="007E5C14"/>
    <w:rsid w:val="007F019E"/>
    <w:rsid w:val="007F0370"/>
    <w:rsid w:val="007F0BA5"/>
    <w:rsid w:val="007F0ED2"/>
    <w:rsid w:val="007F142F"/>
    <w:rsid w:val="007F2368"/>
    <w:rsid w:val="007F77FE"/>
    <w:rsid w:val="00800FC1"/>
    <w:rsid w:val="008137F7"/>
    <w:rsid w:val="00816DDA"/>
    <w:rsid w:val="008278D9"/>
    <w:rsid w:val="008411D8"/>
    <w:rsid w:val="008413F8"/>
    <w:rsid w:val="00841870"/>
    <w:rsid w:val="008419C1"/>
    <w:rsid w:val="00844514"/>
    <w:rsid w:val="00844AB6"/>
    <w:rsid w:val="0085765B"/>
    <w:rsid w:val="00860BDD"/>
    <w:rsid w:val="008610CF"/>
    <w:rsid w:val="008614B6"/>
    <w:rsid w:val="00862816"/>
    <w:rsid w:val="008652E5"/>
    <w:rsid w:val="00882B9D"/>
    <w:rsid w:val="008845F4"/>
    <w:rsid w:val="00892AF9"/>
    <w:rsid w:val="008938D7"/>
    <w:rsid w:val="00893934"/>
    <w:rsid w:val="008A1D10"/>
    <w:rsid w:val="008A2B53"/>
    <w:rsid w:val="008B1316"/>
    <w:rsid w:val="008B1C97"/>
    <w:rsid w:val="008B743E"/>
    <w:rsid w:val="008C653C"/>
    <w:rsid w:val="008D4237"/>
    <w:rsid w:val="008D5638"/>
    <w:rsid w:val="00907D59"/>
    <w:rsid w:val="009220C7"/>
    <w:rsid w:val="00926692"/>
    <w:rsid w:val="00952E04"/>
    <w:rsid w:val="00960BDE"/>
    <w:rsid w:val="009622AE"/>
    <w:rsid w:val="00962CCA"/>
    <w:rsid w:val="00965404"/>
    <w:rsid w:val="009655B8"/>
    <w:rsid w:val="00966458"/>
    <w:rsid w:val="00971248"/>
    <w:rsid w:val="00972602"/>
    <w:rsid w:val="00973ECC"/>
    <w:rsid w:val="0098275F"/>
    <w:rsid w:val="0098334F"/>
    <w:rsid w:val="009833AA"/>
    <w:rsid w:val="00984A52"/>
    <w:rsid w:val="00991CB4"/>
    <w:rsid w:val="0099667C"/>
    <w:rsid w:val="00997983"/>
    <w:rsid w:val="009A0149"/>
    <w:rsid w:val="009A3BF7"/>
    <w:rsid w:val="009B253C"/>
    <w:rsid w:val="009B2846"/>
    <w:rsid w:val="009C32C8"/>
    <w:rsid w:val="009C5EB8"/>
    <w:rsid w:val="009D4213"/>
    <w:rsid w:val="009D49EC"/>
    <w:rsid w:val="009E4DEF"/>
    <w:rsid w:val="009F0AD3"/>
    <w:rsid w:val="00A049DA"/>
    <w:rsid w:val="00A05ADF"/>
    <w:rsid w:val="00A07647"/>
    <w:rsid w:val="00A142AC"/>
    <w:rsid w:val="00A15E99"/>
    <w:rsid w:val="00A21218"/>
    <w:rsid w:val="00A233EA"/>
    <w:rsid w:val="00A2514B"/>
    <w:rsid w:val="00A26717"/>
    <w:rsid w:val="00A34C14"/>
    <w:rsid w:val="00A37AA9"/>
    <w:rsid w:val="00A413F0"/>
    <w:rsid w:val="00A41888"/>
    <w:rsid w:val="00A575DB"/>
    <w:rsid w:val="00A62A1B"/>
    <w:rsid w:val="00A67557"/>
    <w:rsid w:val="00A67BB6"/>
    <w:rsid w:val="00A721A0"/>
    <w:rsid w:val="00A72FD4"/>
    <w:rsid w:val="00A81893"/>
    <w:rsid w:val="00A82A33"/>
    <w:rsid w:val="00A8393A"/>
    <w:rsid w:val="00A87587"/>
    <w:rsid w:val="00A8798E"/>
    <w:rsid w:val="00A93A64"/>
    <w:rsid w:val="00A94C80"/>
    <w:rsid w:val="00A95615"/>
    <w:rsid w:val="00AA22E0"/>
    <w:rsid w:val="00AB368B"/>
    <w:rsid w:val="00AC004A"/>
    <w:rsid w:val="00AC44A9"/>
    <w:rsid w:val="00AD22F2"/>
    <w:rsid w:val="00AE3067"/>
    <w:rsid w:val="00AE7396"/>
    <w:rsid w:val="00AF5BE7"/>
    <w:rsid w:val="00AF5E55"/>
    <w:rsid w:val="00B02174"/>
    <w:rsid w:val="00B02714"/>
    <w:rsid w:val="00B033D5"/>
    <w:rsid w:val="00B035FE"/>
    <w:rsid w:val="00B0495A"/>
    <w:rsid w:val="00B15D07"/>
    <w:rsid w:val="00B16862"/>
    <w:rsid w:val="00B175A1"/>
    <w:rsid w:val="00B266B1"/>
    <w:rsid w:val="00B336C4"/>
    <w:rsid w:val="00B34A4C"/>
    <w:rsid w:val="00B4545E"/>
    <w:rsid w:val="00B572FC"/>
    <w:rsid w:val="00B620FB"/>
    <w:rsid w:val="00B6428B"/>
    <w:rsid w:val="00B72DB1"/>
    <w:rsid w:val="00B742B8"/>
    <w:rsid w:val="00B76351"/>
    <w:rsid w:val="00B82106"/>
    <w:rsid w:val="00B9758F"/>
    <w:rsid w:val="00BA5682"/>
    <w:rsid w:val="00BA727B"/>
    <w:rsid w:val="00BC09E3"/>
    <w:rsid w:val="00BD0C47"/>
    <w:rsid w:val="00BE29E2"/>
    <w:rsid w:val="00BE4F9D"/>
    <w:rsid w:val="00C13066"/>
    <w:rsid w:val="00C161DD"/>
    <w:rsid w:val="00C23E84"/>
    <w:rsid w:val="00C259A7"/>
    <w:rsid w:val="00C2694B"/>
    <w:rsid w:val="00C47C4D"/>
    <w:rsid w:val="00C5662F"/>
    <w:rsid w:val="00C60F54"/>
    <w:rsid w:val="00C61BF1"/>
    <w:rsid w:val="00C63107"/>
    <w:rsid w:val="00C6440C"/>
    <w:rsid w:val="00C64770"/>
    <w:rsid w:val="00C8094C"/>
    <w:rsid w:val="00C84FCD"/>
    <w:rsid w:val="00C91141"/>
    <w:rsid w:val="00C9711F"/>
    <w:rsid w:val="00C97E0E"/>
    <w:rsid w:val="00CA50C2"/>
    <w:rsid w:val="00CA7836"/>
    <w:rsid w:val="00CA7945"/>
    <w:rsid w:val="00CD4B2F"/>
    <w:rsid w:val="00CE4009"/>
    <w:rsid w:val="00CF46C0"/>
    <w:rsid w:val="00CF5E98"/>
    <w:rsid w:val="00CF7C0E"/>
    <w:rsid w:val="00D05FC4"/>
    <w:rsid w:val="00D06291"/>
    <w:rsid w:val="00D1633B"/>
    <w:rsid w:val="00D234FC"/>
    <w:rsid w:val="00D248B8"/>
    <w:rsid w:val="00D35B22"/>
    <w:rsid w:val="00D430E1"/>
    <w:rsid w:val="00D43F14"/>
    <w:rsid w:val="00D44722"/>
    <w:rsid w:val="00D44DC6"/>
    <w:rsid w:val="00D53599"/>
    <w:rsid w:val="00D54ED3"/>
    <w:rsid w:val="00D551E4"/>
    <w:rsid w:val="00D60AC7"/>
    <w:rsid w:val="00D63697"/>
    <w:rsid w:val="00D76BE6"/>
    <w:rsid w:val="00DA18DC"/>
    <w:rsid w:val="00DA36AF"/>
    <w:rsid w:val="00DE3613"/>
    <w:rsid w:val="00DE6316"/>
    <w:rsid w:val="00DF2A9F"/>
    <w:rsid w:val="00DF7B6F"/>
    <w:rsid w:val="00E066E6"/>
    <w:rsid w:val="00E12556"/>
    <w:rsid w:val="00E13262"/>
    <w:rsid w:val="00E22914"/>
    <w:rsid w:val="00E413F5"/>
    <w:rsid w:val="00E449B4"/>
    <w:rsid w:val="00E44CEF"/>
    <w:rsid w:val="00E530D5"/>
    <w:rsid w:val="00E534F5"/>
    <w:rsid w:val="00E66396"/>
    <w:rsid w:val="00E66822"/>
    <w:rsid w:val="00E72658"/>
    <w:rsid w:val="00E72ABC"/>
    <w:rsid w:val="00E75D7D"/>
    <w:rsid w:val="00E80277"/>
    <w:rsid w:val="00E80B4E"/>
    <w:rsid w:val="00E90DB9"/>
    <w:rsid w:val="00E91B13"/>
    <w:rsid w:val="00EA0271"/>
    <w:rsid w:val="00EA40C7"/>
    <w:rsid w:val="00EA6C77"/>
    <w:rsid w:val="00EB2BF7"/>
    <w:rsid w:val="00EB7C8F"/>
    <w:rsid w:val="00ED0010"/>
    <w:rsid w:val="00EE52EE"/>
    <w:rsid w:val="00EF0047"/>
    <w:rsid w:val="00EF6A85"/>
    <w:rsid w:val="00EF6CB6"/>
    <w:rsid w:val="00F01496"/>
    <w:rsid w:val="00F027F6"/>
    <w:rsid w:val="00F078DC"/>
    <w:rsid w:val="00F07B45"/>
    <w:rsid w:val="00F12A1D"/>
    <w:rsid w:val="00F145F0"/>
    <w:rsid w:val="00F150D2"/>
    <w:rsid w:val="00F1546D"/>
    <w:rsid w:val="00F17867"/>
    <w:rsid w:val="00F3451C"/>
    <w:rsid w:val="00F34F47"/>
    <w:rsid w:val="00F3655F"/>
    <w:rsid w:val="00F37B57"/>
    <w:rsid w:val="00F4459A"/>
    <w:rsid w:val="00F5314F"/>
    <w:rsid w:val="00F531A1"/>
    <w:rsid w:val="00F53AD0"/>
    <w:rsid w:val="00F5630C"/>
    <w:rsid w:val="00F65A35"/>
    <w:rsid w:val="00F72160"/>
    <w:rsid w:val="00F80849"/>
    <w:rsid w:val="00F84349"/>
    <w:rsid w:val="00FA12AF"/>
    <w:rsid w:val="00FA6670"/>
    <w:rsid w:val="00FC0AF4"/>
    <w:rsid w:val="00FC1D21"/>
    <w:rsid w:val="00FD52F2"/>
    <w:rsid w:val="00FE6133"/>
    <w:rsid w:val="00FE6AD3"/>
    <w:rsid w:val="00FE7700"/>
    <w:rsid w:val="00FF39F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67DB62"/>
  <w15:docId w15:val="{C9AD29C2-E400-44E7-ACFE-ECCB21D69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ACA"/>
    <w:rPr>
      <w:rFonts w:ascii="Arial" w:hAnsi="Arial" w:cs="Times New Roman"/>
      <w:sz w:val="20"/>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02ACA"/>
    <w:rPr>
      <w:sz w:val="16"/>
      <w:szCs w:val="16"/>
    </w:rPr>
  </w:style>
  <w:style w:type="paragraph" w:styleId="CommentText">
    <w:name w:val="annotation text"/>
    <w:basedOn w:val="Normal"/>
    <w:link w:val="CommentTextChar"/>
    <w:uiPriority w:val="99"/>
    <w:unhideWhenUsed/>
    <w:rsid w:val="00402ACA"/>
    <w:pPr>
      <w:spacing w:line="240" w:lineRule="auto"/>
    </w:pPr>
    <w:rPr>
      <w:szCs w:val="20"/>
    </w:rPr>
  </w:style>
  <w:style w:type="character" w:customStyle="1" w:styleId="CommentTextChar">
    <w:name w:val="Comment Text Char"/>
    <w:basedOn w:val="DefaultParagraphFont"/>
    <w:link w:val="CommentText"/>
    <w:uiPriority w:val="99"/>
    <w:rsid w:val="00402ACA"/>
    <w:rPr>
      <w:rFonts w:ascii="Arial" w:hAnsi="Arial" w:cs="Times New Roman"/>
      <w:sz w:val="20"/>
      <w:szCs w:val="20"/>
    </w:rPr>
  </w:style>
  <w:style w:type="paragraph" w:styleId="ListParagraph">
    <w:name w:val="List Paragraph"/>
    <w:basedOn w:val="Normal"/>
    <w:uiPriority w:val="34"/>
    <w:qFormat/>
    <w:rsid w:val="00402ACA"/>
    <w:pPr>
      <w:ind w:left="720"/>
      <w:contextualSpacing/>
    </w:pPr>
  </w:style>
  <w:style w:type="paragraph" w:styleId="BalloonText">
    <w:name w:val="Balloon Text"/>
    <w:basedOn w:val="Normal"/>
    <w:link w:val="BalloonTextChar"/>
    <w:uiPriority w:val="99"/>
    <w:semiHidden/>
    <w:unhideWhenUsed/>
    <w:rsid w:val="00402A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ACA"/>
    <w:rPr>
      <w:rFonts w:ascii="Segoe UI" w:hAnsi="Segoe UI" w:cs="Segoe UI"/>
      <w:sz w:val="18"/>
      <w:szCs w:val="18"/>
    </w:rPr>
  </w:style>
  <w:style w:type="paragraph" w:styleId="Header">
    <w:name w:val="header"/>
    <w:basedOn w:val="Normal"/>
    <w:link w:val="HeaderChar"/>
    <w:uiPriority w:val="99"/>
    <w:unhideWhenUsed/>
    <w:rsid w:val="00402ACA"/>
    <w:pPr>
      <w:tabs>
        <w:tab w:val="center" w:pos="4536"/>
        <w:tab w:val="right" w:pos="9072"/>
      </w:tabs>
      <w:spacing w:after="0" w:line="240" w:lineRule="auto"/>
    </w:pPr>
  </w:style>
  <w:style w:type="character" w:customStyle="1" w:styleId="HeaderChar">
    <w:name w:val="Header Char"/>
    <w:basedOn w:val="DefaultParagraphFont"/>
    <w:link w:val="Header"/>
    <w:uiPriority w:val="99"/>
    <w:rsid w:val="00402ACA"/>
    <w:rPr>
      <w:rFonts w:ascii="Arial" w:hAnsi="Arial" w:cs="Times New Roman"/>
      <w:sz w:val="20"/>
      <w:szCs w:val="16"/>
    </w:rPr>
  </w:style>
  <w:style w:type="paragraph" w:styleId="Footer">
    <w:name w:val="footer"/>
    <w:basedOn w:val="Normal"/>
    <w:link w:val="FooterChar"/>
    <w:uiPriority w:val="99"/>
    <w:unhideWhenUsed/>
    <w:rsid w:val="00402AC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2ACA"/>
    <w:rPr>
      <w:rFonts w:ascii="Arial" w:hAnsi="Arial" w:cs="Times New Roman"/>
      <w:sz w:val="20"/>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3C31CA"/>
    <w:pPr>
      <w:spacing w:after="0" w:line="240" w:lineRule="auto"/>
    </w:pPr>
    <w:rPr>
      <w:rFonts w:ascii="Calibri" w:eastAsia="Calibri" w:hAnsi="Calibri"/>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3C31CA"/>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qFormat/>
    <w:rsid w:val="003C31CA"/>
    <w:rPr>
      <w:vertAlign w:val="superscript"/>
    </w:rPr>
  </w:style>
  <w:style w:type="paragraph" w:styleId="CommentSubject">
    <w:name w:val="annotation subject"/>
    <w:basedOn w:val="CommentText"/>
    <w:next w:val="CommentText"/>
    <w:link w:val="CommentSubjectChar"/>
    <w:uiPriority w:val="99"/>
    <w:semiHidden/>
    <w:unhideWhenUsed/>
    <w:rsid w:val="00F53AD0"/>
    <w:rPr>
      <w:b/>
      <w:bCs/>
    </w:rPr>
  </w:style>
  <w:style w:type="character" w:customStyle="1" w:styleId="CommentSubjectChar">
    <w:name w:val="Comment Subject Char"/>
    <w:basedOn w:val="CommentTextChar"/>
    <w:link w:val="CommentSubject"/>
    <w:uiPriority w:val="99"/>
    <w:semiHidden/>
    <w:rsid w:val="00F53AD0"/>
    <w:rPr>
      <w:rFonts w:ascii="Arial" w:hAnsi="Arial" w:cs="Times New Roman"/>
      <w:b/>
      <w:bCs/>
      <w:sz w:val="20"/>
      <w:szCs w:val="20"/>
    </w:rPr>
  </w:style>
  <w:style w:type="table" w:styleId="TableGrid">
    <w:name w:val="Table Grid"/>
    <w:basedOn w:val="TableNormal"/>
    <w:uiPriority w:val="39"/>
    <w:rsid w:val="003C403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22AE"/>
    <w:pPr>
      <w:spacing w:after="0" w:line="240" w:lineRule="auto"/>
    </w:pPr>
    <w:rPr>
      <w:rFonts w:ascii="Arial" w:hAnsi="Arial" w:cs="Times New Roman"/>
      <w:sz w:val="20"/>
      <w:szCs w:val="16"/>
    </w:rPr>
  </w:style>
  <w:style w:type="character" w:styleId="Hyperlink">
    <w:name w:val="Hyperlink"/>
    <w:basedOn w:val="DefaultParagraphFont"/>
    <w:uiPriority w:val="99"/>
    <w:unhideWhenUsed/>
    <w:rsid w:val="003D0798"/>
    <w:rPr>
      <w:color w:val="0563C1" w:themeColor="hyperlink"/>
      <w:u w:val="single"/>
    </w:rPr>
  </w:style>
  <w:style w:type="character" w:styleId="FollowedHyperlink">
    <w:name w:val="FollowedHyperlink"/>
    <w:basedOn w:val="DefaultParagraphFont"/>
    <w:uiPriority w:val="99"/>
    <w:semiHidden/>
    <w:unhideWhenUsed/>
    <w:rsid w:val="003D0798"/>
    <w:rPr>
      <w:color w:val="954F72" w:themeColor="followedHyperlink"/>
      <w:u w:val="single"/>
    </w:rPr>
  </w:style>
  <w:style w:type="character" w:customStyle="1" w:styleId="legaldocreference">
    <w:name w:val="legaldocreference"/>
    <w:basedOn w:val="DefaultParagraphFont"/>
    <w:rsid w:val="0038037E"/>
  </w:style>
  <w:style w:type="character" w:customStyle="1" w:styleId="samedocreference">
    <w:name w:val="samedocreference"/>
    <w:basedOn w:val="DefaultParagraphFont"/>
    <w:rsid w:val="0038037E"/>
  </w:style>
  <w:style w:type="character" w:styleId="Strong">
    <w:name w:val="Strong"/>
    <w:basedOn w:val="DefaultParagraphFont"/>
    <w:uiPriority w:val="22"/>
    <w:qFormat/>
    <w:rsid w:val="005265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7787">
      <w:bodyDiv w:val="1"/>
      <w:marLeft w:val="0"/>
      <w:marRight w:val="0"/>
      <w:marTop w:val="0"/>
      <w:marBottom w:val="0"/>
      <w:divBdr>
        <w:top w:val="none" w:sz="0" w:space="0" w:color="auto"/>
        <w:left w:val="none" w:sz="0" w:space="0" w:color="auto"/>
        <w:bottom w:val="none" w:sz="0" w:space="0" w:color="auto"/>
        <w:right w:val="none" w:sz="0" w:space="0" w:color="auto"/>
      </w:divBdr>
      <w:divsChild>
        <w:div w:id="1647471186">
          <w:marLeft w:val="0"/>
          <w:marRight w:val="0"/>
          <w:marTop w:val="180"/>
          <w:marBottom w:val="180"/>
          <w:divBdr>
            <w:top w:val="none" w:sz="0" w:space="0" w:color="auto"/>
            <w:left w:val="none" w:sz="0" w:space="0" w:color="auto"/>
            <w:bottom w:val="none" w:sz="0" w:space="0" w:color="auto"/>
            <w:right w:val="none" w:sz="0" w:space="0" w:color="auto"/>
          </w:divBdr>
        </w:div>
      </w:divsChild>
    </w:div>
    <w:div w:id="699353970">
      <w:bodyDiv w:val="1"/>
      <w:marLeft w:val="0"/>
      <w:marRight w:val="0"/>
      <w:marTop w:val="0"/>
      <w:marBottom w:val="0"/>
      <w:divBdr>
        <w:top w:val="none" w:sz="0" w:space="0" w:color="auto"/>
        <w:left w:val="none" w:sz="0" w:space="0" w:color="auto"/>
        <w:bottom w:val="none" w:sz="0" w:space="0" w:color="auto"/>
        <w:right w:val="none" w:sz="0" w:space="0" w:color="auto"/>
      </w:divBdr>
      <w:divsChild>
        <w:div w:id="1829979874">
          <w:marLeft w:val="0"/>
          <w:marRight w:val="0"/>
          <w:marTop w:val="0"/>
          <w:marBottom w:val="0"/>
          <w:divBdr>
            <w:top w:val="none" w:sz="0" w:space="0" w:color="auto"/>
            <w:left w:val="none" w:sz="0" w:space="0" w:color="auto"/>
            <w:bottom w:val="none" w:sz="0" w:space="0" w:color="auto"/>
            <w:right w:val="none" w:sz="0" w:space="0" w:color="auto"/>
          </w:divBdr>
        </w:div>
        <w:div w:id="2024285621">
          <w:marLeft w:val="0"/>
          <w:marRight w:val="0"/>
          <w:marTop w:val="0"/>
          <w:marBottom w:val="0"/>
          <w:divBdr>
            <w:top w:val="none" w:sz="0" w:space="0" w:color="auto"/>
            <w:left w:val="none" w:sz="0" w:space="0" w:color="auto"/>
            <w:bottom w:val="none" w:sz="0" w:space="0" w:color="auto"/>
            <w:right w:val="none" w:sz="0" w:space="0" w:color="auto"/>
          </w:divBdr>
        </w:div>
        <w:div w:id="281495907">
          <w:marLeft w:val="0"/>
          <w:marRight w:val="0"/>
          <w:marTop w:val="0"/>
          <w:marBottom w:val="0"/>
          <w:divBdr>
            <w:top w:val="none" w:sz="0" w:space="0" w:color="auto"/>
            <w:left w:val="none" w:sz="0" w:space="0" w:color="auto"/>
            <w:bottom w:val="none" w:sz="0" w:space="0" w:color="auto"/>
            <w:right w:val="none" w:sz="0" w:space="0" w:color="auto"/>
          </w:divBdr>
        </w:div>
        <w:div w:id="1807888689">
          <w:marLeft w:val="0"/>
          <w:marRight w:val="0"/>
          <w:marTop w:val="0"/>
          <w:marBottom w:val="0"/>
          <w:divBdr>
            <w:top w:val="none" w:sz="0" w:space="0" w:color="auto"/>
            <w:left w:val="none" w:sz="0" w:space="0" w:color="auto"/>
            <w:bottom w:val="none" w:sz="0" w:space="0" w:color="auto"/>
            <w:right w:val="none" w:sz="0" w:space="0" w:color="auto"/>
          </w:divBdr>
        </w:div>
        <w:div w:id="863400358">
          <w:marLeft w:val="0"/>
          <w:marRight w:val="0"/>
          <w:marTop w:val="0"/>
          <w:marBottom w:val="0"/>
          <w:divBdr>
            <w:top w:val="none" w:sz="0" w:space="0" w:color="auto"/>
            <w:left w:val="none" w:sz="0" w:space="0" w:color="auto"/>
            <w:bottom w:val="none" w:sz="0" w:space="0" w:color="auto"/>
            <w:right w:val="none" w:sz="0" w:space="0" w:color="auto"/>
          </w:divBdr>
        </w:div>
        <w:div w:id="138570731">
          <w:marLeft w:val="0"/>
          <w:marRight w:val="0"/>
          <w:marTop w:val="0"/>
          <w:marBottom w:val="0"/>
          <w:divBdr>
            <w:top w:val="none" w:sz="0" w:space="0" w:color="auto"/>
            <w:left w:val="none" w:sz="0" w:space="0" w:color="auto"/>
            <w:bottom w:val="none" w:sz="0" w:space="0" w:color="auto"/>
            <w:right w:val="none" w:sz="0" w:space="0" w:color="auto"/>
          </w:divBdr>
        </w:div>
        <w:div w:id="1017662007">
          <w:marLeft w:val="0"/>
          <w:marRight w:val="0"/>
          <w:marTop w:val="0"/>
          <w:marBottom w:val="0"/>
          <w:divBdr>
            <w:top w:val="none" w:sz="0" w:space="0" w:color="auto"/>
            <w:left w:val="none" w:sz="0" w:space="0" w:color="auto"/>
            <w:bottom w:val="none" w:sz="0" w:space="0" w:color="auto"/>
            <w:right w:val="none" w:sz="0" w:space="0" w:color="auto"/>
          </w:divBdr>
        </w:div>
        <w:div w:id="1048183028">
          <w:marLeft w:val="0"/>
          <w:marRight w:val="0"/>
          <w:marTop w:val="0"/>
          <w:marBottom w:val="0"/>
          <w:divBdr>
            <w:top w:val="none" w:sz="0" w:space="0" w:color="auto"/>
            <w:left w:val="none" w:sz="0" w:space="0" w:color="auto"/>
            <w:bottom w:val="none" w:sz="0" w:space="0" w:color="auto"/>
            <w:right w:val="none" w:sz="0" w:space="0" w:color="auto"/>
          </w:divBdr>
        </w:div>
        <w:div w:id="635838951">
          <w:marLeft w:val="0"/>
          <w:marRight w:val="0"/>
          <w:marTop w:val="0"/>
          <w:marBottom w:val="0"/>
          <w:divBdr>
            <w:top w:val="none" w:sz="0" w:space="0" w:color="auto"/>
            <w:left w:val="none" w:sz="0" w:space="0" w:color="auto"/>
            <w:bottom w:val="none" w:sz="0" w:space="0" w:color="auto"/>
            <w:right w:val="none" w:sz="0" w:space="0" w:color="auto"/>
          </w:divBdr>
        </w:div>
        <w:div w:id="439450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BG/TXT/?uri=celex%3A12012P%2FTXT" TargetMode="External"/><Relationship Id="rId1" Type="http://schemas.openxmlformats.org/officeDocument/2006/relationships/hyperlink" Target="https://www.ohchr.org/EN/HRBodies/CRPD/Pages/ConventionRightsPersonsWithDisabilities.aspx" TargetMode="External"/></Relationships>
</file>

<file path=word/_rels/header2.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4104D-A56D-418A-9EB5-F3C5EC3F8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1767</TotalTime>
  <Pages>21</Pages>
  <Words>7931</Words>
  <Characters>45207</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Тони Ванюшев</dc:creator>
  <cp:keywords/>
  <dc:description/>
  <cp:lastModifiedBy>Author</cp:lastModifiedBy>
  <cp:revision>127</cp:revision>
  <dcterms:created xsi:type="dcterms:W3CDTF">2025-12-30T09:19:00Z</dcterms:created>
  <dcterms:modified xsi:type="dcterms:W3CDTF">2026-08-07T13:39:00Z</dcterms:modified>
</cp:coreProperties>
</file>